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B8BC5" w14:textId="1EF16D7B" w:rsidR="006375B8" w:rsidRPr="00B43CE9" w:rsidRDefault="006375B8" w:rsidP="006375B8">
      <w:pPr>
        <w:adjustRightInd w:val="0"/>
        <w:snapToGrid w:val="0"/>
        <w:spacing w:afterLines="100" w:after="360" w:line="520" w:lineRule="exact"/>
        <w:jc w:val="center"/>
        <w:textAlignment w:val="baseline"/>
        <w:rPr>
          <w:rFonts w:ascii="Times New Roman" w:eastAsia="標楷體" w:hAnsi="Times New Roman" w:cs="Times New Roman"/>
          <w:b/>
          <w:color w:val="000000"/>
          <w:sz w:val="48"/>
          <w:szCs w:val="48"/>
        </w:rPr>
      </w:pPr>
      <w:r w:rsidRPr="00B43CE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擬訂</w:t>
      </w:r>
      <w:r w:rsidR="00BA762E" w:rsidRPr="00B43CE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定</w:t>
      </w:r>
      <w:r w:rsidRPr="00B43CE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碳足跡產品類別規則文件基本資料</w:t>
      </w:r>
    </w:p>
    <w:p w14:paraId="3D5EF24A" w14:textId="526E002A" w:rsidR="00BA762E" w:rsidRPr="00B43CE9" w:rsidRDefault="006375B8" w:rsidP="006375B8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B43CE9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一、</w:t>
      </w:r>
      <w:r w:rsidR="00BA762E" w:rsidRPr="00B43CE9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產品資訊</w:t>
      </w:r>
    </w:p>
    <w:tbl>
      <w:tblPr>
        <w:tblpPr w:leftFromText="180" w:rightFromText="180" w:vertAnchor="text" w:horzAnchor="margin" w:tblpY="282"/>
        <w:tblOverlap w:val="never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1447"/>
        <w:gridCol w:w="2126"/>
        <w:gridCol w:w="2268"/>
        <w:gridCol w:w="1672"/>
        <w:gridCol w:w="2268"/>
        <w:gridCol w:w="1843"/>
      </w:tblGrid>
      <w:tr w:rsidR="00BA762E" w:rsidRPr="00B43CE9" w14:paraId="6390F043" w14:textId="77777777" w:rsidTr="004456D1">
        <w:trPr>
          <w:trHeight w:val="990"/>
          <w:tblHeader/>
        </w:trPr>
        <w:tc>
          <w:tcPr>
            <w:tcW w:w="1526" w:type="dxa"/>
            <w:shd w:val="clear" w:color="auto" w:fill="D9D9D9"/>
            <w:vAlign w:val="center"/>
          </w:tcPr>
          <w:p w14:paraId="6DF12BD5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訂定者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82B6DF5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CFP-PCR</w:t>
            </w:r>
          </w:p>
          <w:p w14:paraId="15263948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中文名稱</w:t>
            </w:r>
          </w:p>
        </w:tc>
        <w:tc>
          <w:tcPr>
            <w:tcW w:w="1447" w:type="dxa"/>
            <w:shd w:val="clear" w:color="auto" w:fill="D9D9D9"/>
            <w:vAlign w:val="center"/>
          </w:tcPr>
          <w:p w14:paraId="76703A7F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CFP-PCR</w:t>
            </w:r>
          </w:p>
          <w:p w14:paraId="4A8114F2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英文名稱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550D56AA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適用產品範圍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BC28DEC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參考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CCC Code/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行業標準分類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1CB9297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擬申請之產品名稱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9C38E70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國外相關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PCR</w:t>
            </w:r>
          </w:p>
          <w:p w14:paraId="4E3C2199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名稱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國別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E1CC49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國外</w:t>
            </w:r>
            <w:r w:rsidRPr="00B43CE9">
              <w:rPr>
                <w:rFonts w:ascii="Times New Roman" w:eastAsia="標楷體" w:hAnsi="Times New Roman" w:cs="Times New Roman"/>
                <w:color w:val="000000"/>
              </w:rPr>
              <w:t>PCR</w:t>
            </w:r>
          </w:p>
          <w:p w14:paraId="38670754" w14:textId="77777777" w:rsidR="00BA762E" w:rsidRPr="00B43CE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B43CE9">
              <w:rPr>
                <w:rFonts w:ascii="Times New Roman" w:eastAsia="標楷體" w:hAnsi="Times New Roman" w:cs="Times New Roman"/>
                <w:color w:val="000000"/>
              </w:rPr>
              <w:t>適用產品範圍</w:t>
            </w:r>
          </w:p>
        </w:tc>
      </w:tr>
      <w:tr w:rsidR="00B353D9" w:rsidRPr="00B43CE9" w14:paraId="6D8F358B" w14:textId="77777777" w:rsidTr="004456D1">
        <w:trPr>
          <w:trHeight w:val="1557"/>
        </w:trPr>
        <w:tc>
          <w:tcPr>
            <w:tcW w:w="1526" w:type="dxa"/>
          </w:tcPr>
          <w:p w14:paraId="4A5E36DF" w14:textId="5A14FC73" w:rsidR="00B353D9" w:rsidRPr="00B43CE9" w:rsidRDefault="002A5E91" w:rsidP="00B353D9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2A5E91">
              <w:rPr>
                <w:rFonts w:eastAsia="標楷體" w:hint="eastAsia"/>
              </w:rPr>
              <w:t>台灣中油股份有限公司油品行銷事業部</w:t>
            </w:r>
          </w:p>
        </w:tc>
        <w:tc>
          <w:tcPr>
            <w:tcW w:w="1417" w:type="dxa"/>
          </w:tcPr>
          <w:p w14:paraId="1443DE5F" w14:textId="3697289C" w:rsidR="00B353D9" w:rsidRPr="00B43CE9" w:rsidRDefault="00B353D9" w:rsidP="00B353D9">
            <w:pPr>
              <w:pStyle w:val="a3"/>
              <w:ind w:leftChars="0" w:left="0"/>
              <w:rPr>
                <w:rFonts w:eastAsia="標楷體"/>
                <w:color w:val="000000"/>
              </w:rPr>
            </w:pPr>
            <w:r w:rsidRPr="00B43CE9">
              <w:rPr>
                <w:rFonts w:eastAsia="標楷體"/>
              </w:rPr>
              <w:t>加油站服務</w:t>
            </w:r>
          </w:p>
        </w:tc>
        <w:tc>
          <w:tcPr>
            <w:tcW w:w="1447" w:type="dxa"/>
          </w:tcPr>
          <w:p w14:paraId="1AE6CE1A" w14:textId="74946B70" w:rsidR="00B353D9" w:rsidRPr="00B43CE9" w:rsidRDefault="00B353D9" w:rsidP="00B353D9">
            <w:pPr>
              <w:pStyle w:val="a3"/>
              <w:ind w:leftChars="0" w:left="0"/>
              <w:rPr>
                <w:rFonts w:eastAsia="標楷體"/>
                <w:color w:val="000000"/>
              </w:rPr>
            </w:pPr>
            <w:r w:rsidRPr="00B43CE9">
              <w:rPr>
                <w:rFonts w:eastAsia="標楷體"/>
              </w:rPr>
              <w:t>Filling Station</w:t>
            </w:r>
            <w:r w:rsidR="007B1D09">
              <w:rPr>
                <w:rFonts w:eastAsia="標楷體" w:hint="eastAsia"/>
              </w:rPr>
              <w:t xml:space="preserve"> </w:t>
            </w:r>
            <w:r w:rsidR="007B1D09" w:rsidRPr="007B1D09">
              <w:rPr>
                <w:rFonts w:eastAsia="標楷體"/>
              </w:rPr>
              <w:t>Services</w:t>
            </w:r>
          </w:p>
        </w:tc>
        <w:tc>
          <w:tcPr>
            <w:tcW w:w="2126" w:type="dxa"/>
          </w:tcPr>
          <w:p w14:paraId="237D6D46" w14:textId="7294891B" w:rsidR="00B353D9" w:rsidRPr="00B43CE9" w:rsidRDefault="002A5E91" w:rsidP="00B353D9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2A5E91">
              <w:rPr>
                <w:rFonts w:eastAsia="標楷體" w:hint="eastAsia"/>
                <w:color w:val="000000" w:themeColor="text1"/>
                <w:kern w:val="0"/>
              </w:rPr>
              <w:t>本</w:t>
            </w:r>
            <w:r w:rsidRPr="002A5E91">
              <w:rPr>
                <w:rFonts w:eastAsia="標楷體" w:hint="eastAsia"/>
                <w:color w:val="000000" w:themeColor="text1"/>
                <w:kern w:val="0"/>
              </w:rPr>
              <w:t>PCR</w:t>
            </w:r>
            <w:r w:rsidRPr="002A5E91">
              <w:rPr>
                <w:rFonts w:eastAsia="標楷體" w:hint="eastAsia"/>
                <w:color w:val="000000" w:themeColor="text1"/>
                <w:kern w:val="0"/>
              </w:rPr>
              <w:t>適用範圍為備有儲油設施及流量式加油機，為機動車輛或動力機械加注汽油、柴油或供給汽油、柴油等予消費者之加油站。</w:t>
            </w:r>
          </w:p>
        </w:tc>
        <w:tc>
          <w:tcPr>
            <w:tcW w:w="2268" w:type="dxa"/>
          </w:tcPr>
          <w:p w14:paraId="6284CF53" w14:textId="77777777" w:rsidR="00B353D9" w:rsidRPr="00B43CE9" w:rsidRDefault="00B353D9" w:rsidP="00B353D9">
            <w:pPr>
              <w:ind w:rightChars="-42" w:right="-101"/>
              <w:rPr>
                <w:rFonts w:ascii="Times New Roman" w:eastAsia="標楷體" w:hAnsi="Times New Roman" w:cs="Times New Roman"/>
                <w:szCs w:val="24"/>
              </w:rPr>
            </w:pPr>
            <w:r w:rsidRPr="00B43CE9">
              <w:rPr>
                <w:rFonts w:ascii="Times New Roman" w:eastAsia="標楷體" w:hAnsi="Times New Roman" w:cs="Times New Roman"/>
                <w:szCs w:val="24"/>
              </w:rPr>
              <w:t>行業標準分類：</w:t>
            </w:r>
          </w:p>
          <w:p w14:paraId="4143AD62" w14:textId="63D109BE" w:rsidR="00B353D9" w:rsidRPr="00B43CE9" w:rsidRDefault="00B353D9" w:rsidP="00B353D9">
            <w:pPr>
              <w:ind w:rightChars="-42" w:right="-101"/>
              <w:rPr>
                <w:rFonts w:ascii="Times New Roman" w:eastAsia="標楷體" w:hAnsi="Times New Roman" w:cs="Times New Roman"/>
                <w:szCs w:val="24"/>
              </w:rPr>
            </w:pPr>
            <w:r w:rsidRPr="00B43CE9">
              <w:rPr>
                <w:rFonts w:ascii="Times New Roman" w:eastAsia="標楷體" w:hAnsi="Times New Roman" w:cs="Times New Roman"/>
                <w:szCs w:val="24"/>
              </w:rPr>
              <w:t xml:space="preserve">4821 </w:t>
            </w:r>
            <w:r w:rsidRPr="00B43CE9">
              <w:rPr>
                <w:rFonts w:ascii="Times New Roman" w:eastAsia="標楷體" w:hAnsi="Times New Roman" w:cs="Times New Roman"/>
                <w:szCs w:val="24"/>
              </w:rPr>
              <w:t>加油及加氣站</w:t>
            </w:r>
          </w:p>
          <w:p w14:paraId="089D866D" w14:textId="77777777" w:rsidR="00B353D9" w:rsidRPr="00B43CE9" w:rsidRDefault="00B353D9" w:rsidP="00B353D9">
            <w:pPr>
              <w:ind w:rightChars="-42" w:right="-101"/>
              <w:rPr>
                <w:rFonts w:ascii="Times New Roman" w:eastAsia="標楷體" w:hAnsi="Times New Roman" w:cs="Times New Roman"/>
              </w:rPr>
            </w:pPr>
          </w:p>
          <w:p w14:paraId="10BB9B20" w14:textId="1ADF6E77" w:rsidR="00B353D9" w:rsidRPr="00B43CE9" w:rsidRDefault="00B353D9" w:rsidP="00B353D9">
            <w:pPr>
              <w:ind w:rightChars="-42" w:right="-101"/>
              <w:rPr>
                <w:rFonts w:ascii="Times New Roman" w:eastAsia="標楷體" w:hAnsi="Times New Roman" w:cs="Times New Roman"/>
              </w:rPr>
            </w:pPr>
            <w:r w:rsidRPr="00B43CE9">
              <w:rPr>
                <w:rFonts w:ascii="Times New Roman" w:eastAsia="標楷體" w:hAnsi="Times New Roman" w:cs="Times New Roman"/>
              </w:rPr>
              <w:t>不包括：</w:t>
            </w:r>
          </w:p>
          <w:p w14:paraId="1DD5E841" w14:textId="343AF86F" w:rsidR="00B353D9" w:rsidRPr="00B43CE9" w:rsidRDefault="00B353D9" w:rsidP="00B353D9">
            <w:pPr>
              <w:pStyle w:val="a3"/>
              <w:ind w:leftChars="0" w:left="0" w:rightChars="-42" w:right="-101"/>
              <w:rPr>
                <w:rFonts w:eastAsia="標楷體"/>
              </w:rPr>
            </w:pPr>
            <w:r w:rsidRPr="00B43CE9">
              <w:rPr>
                <w:rFonts w:eastAsia="標楷體"/>
              </w:rPr>
              <w:t>4829</w:t>
            </w:r>
            <w:r w:rsidRPr="00B43CE9">
              <w:rPr>
                <w:rFonts w:eastAsia="標楷體"/>
              </w:rPr>
              <w:t>其他燃料及相關產品零售業，從事汽油、柴油以外石油製品零售之行業</w:t>
            </w:r>
          </w:p>
        </w:tc>
        <w:tc>
          <w:tcPr>
            <w:tcW w:w="1672" w:type="dxa"/>
          </w:tcPr>
          <w:p w14:paraId="323BC694" w14:textId="363AF4A4" w:rsidR="00B353D9" w:rsidRPr="00B43CE9" w:rsidRDefault="00B353D9" w:rsidP="00B353D9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B43CE9">
              <w:rPr>
                <w:rFonts w:eastAsia="標楷體"/>
              </w:rPr>
              <w:t>加油站服務</w:t>
            </w:r>
          </w:p>
        </w:tc>
        <w:tc>
          <w:tcPr>
            <w:tcW w:w="2268" w:type="dxa"/>
          </w:tcPr>
          <w:p w14:paraId="3A3DE1C0" w14:textId="2D834E49" w:rsidR="00B353D9" w:rsidRPr="00B43CE9" w:rsidRDefault="00B353D9" w:rsidP="00B353D9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B43CE9">
              <w:rPr>
                <w:rFonts w:eastAsia="標楷體"/>
              </w:rPr>
              <w:t>(</w:t>
            </w:r>
            <w:r w:rsidRPr="00B43CE9">
              <w:rPr>
                <w:rFonts w:eastAsia="標楷體"/>
              </w:rPr>
              <w:t>略</w:t>
            </w:r>
            <w:r w:rsidRPr="00B43CE9">
              <w:rPr>
                <w:rFonts w:eastAsia="標楷體"/>
              </w:rPr>
              <w:t>)</w:t>
            </w:r>
          </w:p>
        </w:tc>
        <w:tc>
          <w:tcPr>
            <w:tcW w:w="1843" w:type="dxa"/>
          </w:tcPr>
          <w:p w14:paraId="730A4F40" w14:textId="55670943" w:rsidR="00B353D9" w:rsidRPr="00B43CE9" w:rsidRDefault="00B353D9" w:rsidP="00B353D9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B43CE9">
              <w:rPr>
                <w:rFonts w:eastAsia="標楷體"/>
              </w:rPr>
              <w:t>(</w:t>
            </w:r>
            <w:r w:rsidRPr="00B43CE9">
              <w:rPr>
                <w:rFonts w:eastAsia="標楷體"/>
              </w:rPr>
              <w:t>略</w:t>
            </w:r>
            <w:r w:rsidRPr="00B43CE9">
              <w:rPr>
                <w:rFonts w:eastAsia="標楷體"/>
              </w:rPr>
              <w:t>)</w:t>
            </w:r>
          </w:p>
        </w:tc>
      </w:tr>
    </w:tbl>
    <w:p w14:paraId="7F6CA672" w14:textId="77777777" w:rsidR="00212B3A" w:rsidRPr="00B43CE9" w:rsidRDefault="00212B3A">
      <w:pPr>
        <w:widowControl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br w:type="page"/>
      </w:r>
    </w:p>
    <w:p w14:paraId="4C468D79" w14:textId="1BB4BABD" w:rsidR="00BA762E" w:rsidRPr="00B43CE9" w:rsidRDefault="00BA762E" w:rsidP="00602BCC">
      <w:pPr>
        <w:adjustRightInd w:val="0"/>
        <w:snapToGrid w:val="0"/>
        <w:spacing w:afterLines="100" w:after="360" w:line="440" w:lineRule="exact"/>
        <w:textAlignment w:val="baseline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lastRenderedPageBreak/>
        <w:t>二、</w:t>
      </w:r>
      <w:r w:rsidR="00A51E67"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服務</w:t>
      </w: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特性與照片介紹</w:t>
      </w:r>
    </w:p>
    <w:p w14:paraId="49AE3D7D" w14:textId="5352D731" w:rsidR="00BA762E" w:rsidRPr="00B43CE9" w:rsidRDefault="00A51E67" w:rsidP="00BA762E">
      <w:pPr>
        <w:pStyle w:val="2"/>
        <w:numPr>
          <w:ilvl w:val="0"/>
          <w:numId w:val="13"/>
        </w:numPr>
        <w:rPr>
          <w:rFonts w:eastAsia="標楷體" w:cs="Times New Roman"/>
          <w:color w:val="000000" w:themeColor="text1"/>
          <w:szCs w:val="28"/>
        </w:rPr>
      </w:pPr>
      <w:bookmarkStart w:id="0" w:name="_Hlk129166786"/>
      <w:r w:rsidRPr="00B43CE9">
        <w:rPr>
          <w:rFonts w:eastAsia="標楷體" w:cs="Times New Roman"/>
          <w:color w:val="000000" w:themeColor="text1"/>
          <w:szCs w:val="28"/>
        </w:rPr>
        <w:t>服務</w:t>
      </w:r>
      <w:r w:rsidR="00BA762E" w:rsidRPr="00B43CE9">
        <w:rPr>
          <w:rFonts w:eastAsia="標楷體" w:cs="Times New Roman"/>
          <w:color w:val="000000" w:themeColor="text1"/>
          <w:szCs w:val="28"/>
        </w:rPr>
        <w:t>特性與功能介紹：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請以簡要文字說明該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PCR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可適用之相關產品與其功能特性。</w:t>
      </w:r>
    </w:p>
    <w:p w14:paraId="026DE922" w14:textId="64C19E64" w:rsidR="00A805C9" w:rsidRPr="00B43CE9" w:rsidRDefault="00A51E67" w:rsidP="00FF3819">
      <w:pPr>
        <w:pStyle w:val="2"/>
        <w:numPr>
          <w:ilvl w:val="0"/>
          <w:numId w:val="16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t>服務</w:t>
      </w:r>
      <w:r w:rsidR="00BA762E" w:rsidRPr="00B43CE9">
        <w:rPr>
          <w:rFonts w:eastAsia="標楷體" w:cs="Times New Roman"/>
          <w:color w:val="000000" w:themeColor="text1"/>
          <w:szCs w:val="28"/>
        </w:rPr>
        <w:t>特性說明</w:t>
      </w:r>
      <w:r w:rsidR="002A5E91" w:rsidRPr="002A5E91">
        <w:rPr>
          <w:rFonts w:eastAsia="標楷體" w:cs="Times New Roman" w:hint="eastAsia"/>
          <w:color w:val="000000" w:themeColor="text1"/>
          <w:szCs w:val="28"/>
        </w:rPr>
        <w:t>：提供消費者自進入加油站至離開加油站前之各項服務，加油站係指備有儲油設施及流量式加油機，為機動車輛或動力機械加注汽油、柴油或供給汽油、柴油等予消費者之場所。</w:t>
      </w:r>
    </w:p>
    <w:p w14:paraId="24B2985D" w14:textId="2CE80D8F" w:rsidR="00BA762E" w:rsidRPr="00B43CE9" w:rsidRDefault="00A51E67" w:rsidP="00BA762E">
      <w:pPr>
        <w:pStyle w:val="2"/>
        <w:numPr>
          <w:ilvl w:val="0"/>
          <w:numId w:val="16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t>服務</w:t>
      </w:r>
      <w:r w:rsidR="00BA762E" w:rsidRPr="00B43CE9">
        <w:rPr>
          <w:rFonts w:eastAsia="標楷體" w:cs="Times New Roman"/>
          <w:color w:val="000000" w:themeColor="text1"/>
          <w:szCs w:val="28"/>
        </w:rPr>
        <w:t>功能介紹：</w:t>
      </w:r>
    </w:p>
    <w:p w14:paraId="6A47A1DF" w14:textId="77777777" w:rsidR="002A5E91" w:rsidRPr="002A5E91" w:rsidRDefault="002A5E91" w:rsidP="002A5E91">
      <w:pPr>
        <w:pStyle w:val="a3"/>
        <w:widowControl/>
        <w:numPr>
          <w:ilvl w:val="1"/>
          <w:numId w:val="16"/>
        </w:numPr>
        <w:spacing w:line="440" w:lineRule="exact"/>
        <w:ind w:leftChars="0" w:left="1684" w:hanging="482"/>
        <w:rPr>
          <w:rFonts w:eastAsia="標楷體"/>
          <w:color w:val="000000" w:themeColor="text1"/>
          <w:szCs w:val="28"/>
        </w:rPr>
      </w:pPr>
      <w:r w:rsidRPr="002A5E91">
        <w:rPr>
          <w:rFonts w:eastAsia="標楷體" w:hint="eastAsia"/>
          <w:color w:val="000000" w:themeColor="text1"/>
          <w:szCs w:val="28"/>
        </w:rPr>
        <w:t>服務前期：加油站主要銷售車用燃料，故服務前期係將車用燃料經油灌車載至加油站後，將油罐車引導至卸油區進行卸油，將各車用燃料儲存於加油站對應燃料油槽。</w:t>
      </w:r>
    </w:p>
    <w:p w14:paraId="5919D961" w14:textId="77777777" w:rsidR="002A5E91" w:rsidRPr="002A5E91" w:rsidRDefault="002A5E91" w:rsidP="002A5E91">
      <w:pPr>
        <w:pStyle w:val="a3"/>
        <w:widowControl/>
        <w:numPr>
          <w:ilvl w:val="1"/>
          <w:numId w:val="16"/>
        </w:numPr>
        <w:spacing w:line="440" w:lineRule="exact"/>
        <w:ind w:leftChars="0" w:left="1684" w:hanging="482"/>
        <w:rPr>
          <w:rFonts w:eastAsia="標楷體"/>
          <w:color w:val="000000" w:themeColor="text1"/>
          <w:szCs w:val="28"/>
        </w:rPr>
      </w:pPr>
      <w:r w:rsidRPr="002A5E91">
        <w:rPr>
          <w:rFonts w:eastAsia="標楷體" w:hint="eastAsia"/>
          <w:color w:val="000000" w:themeColor="text1"/>
          <w:szCs w:val="28"/>
        </w:rPr>
        <w:t>服務中期：消費者可透過兩種方式進行加油，分別為車輛加油或提桶</w:t>
      </w:r>
      <w:r w:rsidRPr="002A5E91">
        <w:rPr>
          <w:rFonts w:eastAsia="標楷體" w:hint="eastAsia"/>
          <w:color w:val="000000" w:themeColor="text1"/>
          <w:szCs w:val="28"/>
        </w:rPr>
        <w:t>(</w:t>
      </w:r>
      <w:r w:rsidRPr="002A5E91">
        <w:rPr>
          <w:rFonts w:eastAsia="標楷體" w:hint="eastAsia"/>
          <w:color w:val="000000" w:themeColor="text1"/>
          <w:szCs w:val="28"/>
        </w:rPr>
        <w:t>槽</w:t>
      </w:r>
      <w:r w:rsidRPr="002A5E91">
        <w:rPr>
          <w:rFonts w:eastAsia="標楷體" w:hint="eastAsia"/>
          <w:color w:val="000000" w:themeColor="text1"/>
          <w:szCs w:val="28"/>
        </w:rPr>
        <w:t>)</w:t>
      </w:r>
      <w:r w:rsidRPr="002A5E91">
        <w:rPr>
          <w:rFonts w:eastAsia="標楷體" w:hint="eastAsia"/>
          <w:color w:val="000000" w:themeColor="text1"/>
          <w:szCs w:val="28"/>
        </w:rPr>
        <w:t>加油，以車輛加油者，首先引導車輛進站停妥並完全熄火，後續確認加注油品品項、數量及加油機油錶歸零後，打開車輛油箱蓋，將加油槍放入油箱口加注油料，完成加油後再關閉車輛油箱蓋，並將加油槍歸位，結帳付款後，再引導車輛出站；提桶</w:t>
      </w:r>
      <w:r w:rsidRPr="002A5E91">
        <w:rPr>
          <w:rFonts w:eastAsia="標楷體" w:hint="eastAsia"/>
          <w:color w:val="000000" w:themeColor="text1"/>
          <w:szCs w:val="28"/>
        </w:rPr>
        <w:t>(</w:t>
      </w:r>
      <w:r w:rsidRPr="002A5E91">
        <w:rPr>
          <w:rFonts w:eastAsia="標楷體" w:hint="eastAsia"/>
          <w:color w:val="000000" w:themeColor="text1"/>
          <w:szCs w:val="28"/>
        </w:rPr>
        <w:t>槽</w:t>
      </w:r>
      <w:r w:rsidRPr="002A5E91">
        <w:rPr>
          <w:rFonts w:eastAsia="標楷體" w:hint="eastAsia"/>
          <w:color w:val="000000" w:themeColor="text1"/>
          <w:szCs w:val="28"/>
        </w:rPr>
        <w:t>)</w:t>
      </w:r>
      <w:r w:rsidRPr="002A5E91">
        <w:rPr>
          <w:rFonts w:eastAsia="標楷體" w:hint="eastAsia"/>
          <w:color w:val="000000" w:themeColor="text1"/>
          <w:szCs w:val="28"/>
        </w:rPr>
        <w:t>加油者，引導民眾進站，後續確認加注油品品項、數量及加油機油錶歸零後，打開油桶</w:t>
      </w:r>
      <w:r w:rsidRPr="002A5E91">
        <w:rPr>
          <w:rFonts w:eastAsia="標楷體" w:hint="eastAsia"/>
          <w:color w:val="000000" w:themeColor="text1"/>
          <w:szCs w:val="28"/>
        </w:rPr>
        <w:t>(</w:t>
      </w:r>
      <w:r w:rsidRPr="002A5E91">
        <w:rPr>
          <w:rFonts w:eastAsia="標楷體" w:hint="eastAsia"/>
          <w:color w:val="000000" w:themeColor="text1"/>
          <w:szCs w:val="28"/>
        </w:rPr>
        <w:t>槽</w:t>
      </w:r>
      <w:r w:rsidRPr="002A5E91">
        <w:rPr>
          <w:rFonts w:eastAsia="標楷體" w:hint="eastAsia"/>
          <w:color w:val="000000" w:themeColor="text1"/>
          <w:szCs w:val="28"/>
        </w:rPr>
        <w:t>)</w:t>
      </w:r>
      <w:r w:rsidRPr="002A5E91">
        <w:rPr>
          <w:rFonts w:eastAsia="標楷體" w:hint="eastAsia"/>
          <w:color w:val="000000" w:themeColor="text1"/>
          <w:szCs w:val="28"/>
        </w:rPr>
        <w:t>蓋，將加油槍放入油桶</w:t>
      </w:r>
      <w:r w:rsidRPr="002A5E91">
        <w:rPr>
          <w:rFonts w:eastAsia="標楷體" w:hint="eastAsia"/>
          <w:color w:val="000000" w:themeColor="text1"/>
          <w:szCs w:val="28"/>
        </w:rPr>
        <w:t>(</w:t>
      </w:r>
      <w:r w:rsidRPr="002A5E91">
        <w:rPr>
          <w:rFonts w:eastAsia="標楷體" w:hint="eastAsia"/>
          <w:color w:val="000000" w:themeColor="text1"/>
          <w:szCs w:val="28"/>
        </w:rPr>
        <w:t>槽</w:t>
      </w:r>
      <w:r w:rsidRPr="002A5E91">
        <w:rPr>
          <w:rFonts w:eastAsia="標楷體" w:hint="eastAsia"/>
          <w:color w:val="000000" w:themeColor="text1"/>
          <w:szCs w:val="28"/>
        </w:rPr>
        <w:t>)</w:t>
      </w:r>
      <w:r w:rsidRPr="002A5E91">
        <w:rPr>
          <w:rFonts w:eastAsia="標楷體" w:hint="eastAsia"/>
          <w:color w:val="000000" w:themeColor="text1"/>
          <w:szCs w:val="28"/>
        </w:rPr>
        <w:t>口加注油料，完成加油後再關閉車輛油桶</w:t>
      </w:r>
      <w:r w:rsidRPr="002A5E91">
        <w:rPr>
          <w:rFonts w:eastAsia="標楷體" w:hint="eastAsia"/>
          <w:color w:val="000000" w:themeColor="text1"/>
          <w:szCs w:val="28"/>
        </w:rPr>
        <w:t>(</w:t>
      </w:r>
      <w:r w:rsidRPr="002A5E91">
        <w:rPr>
          <w:rFonts w:eastAsia="標楷體" w:hint="eastAsia"/>
          <w:color w:val="000000" w:themeColor="text1"/>
          <w:szCs w:val="28"/>
        </w:rPr>
        <w:t>槽</w:t>
      </w:r>
      <w:r w:rsidRPr="002A5E91">
        <w:rPr>
          <w:rFonts w:eastAsia="標楷體" w:hint="eastAsia"/>
          <w:color w:val="000000" w:themeColor="text1"/>
          <w:szCs w:val="28"/>
        </w:rPr>
        <w:t>)</w:t>
      </w:r>
      <w:r w:rsidRPr="002A5E91">
        <w:rPr>
          <w:rFonts w:eastAsia="標楷體" w:hint="eastAsia"/>
          <w:color w:val="000000" w:themeColor="text1"/>
          <w:szCs w:val="28"/>
        </w:rPr>
        <w:t>蓋，並將加油槍歸位，加油數量超過規定者應填寫加油登記表，結帳付款後，再引導民眾出站。</w:t>
      </w:r>
    </w:p>
    <w:p w14:paraId="4FB53142" w14:textId="77777777" w:rsidR="002A5E91" w:rsidRPr="002A5E91" w:rsidRDefault="002A5E91" w:rsidP="002A5E91">
      <w:pPr>
        <w:pStyle w:val="a3"/>
        <w:widowControl/>
        <w:numPr>
          <w:ilvl w:val="1"/>
          <w:numId w:val="16"/>
        </w:numPr>
        <w:spacing w:line="440" w:lineRule="exact"/>
        <w:ind w:leftChars="0" w:left="1684" w:hanging="482"/>
        <w:rPr>
          <w:rFonts w:eastAsia="標楷體"/>
          <w:color w:val="000000" w:themeColor="text1"/>
          <w:szCs w:val="28"/>
        </w:rPr>
      </w:pPr>
      <w:r w:rsidRPr="002A5E91">
        <w:rPr>
          <w:rFonts w:eastAsia="標楷體" w:hint="eastAsia"/>
          <w:color w:val="000000" w:themeColor="text1"/>
          <w:szCs w:val="28"/>
        </w:rPr>
        <w:t>服務後期：為維持加油站設施正常運作，安排加油站員工進行每日維護檢點，並為了維持油品品質，定時進行油槽清淤。</w:t>
      </w:r>
    </w:p>
    <w:p w14:paraId="56B401DC" w14:textId="77777777" w:rsidR="00F64F32" w:rsidRDefault="00F64F32">
      <w:pPr>
        <w:widowControl/>
        <w:rPr>
          <w:rFonts w:ascii="Times New Roman" w:eastAsia="標楷體" w:hAnsi="Times New Roman" w:cs="Times New Roman"/>
          <w:szCs w:val="28"/>
        </w:rPr>
      </w:pPr>
      <w:r>
        <w:rPr>
          <w:rFonts w:eastAsia="標楷體" w:cs="Times New Roman"/>
          <w:szCs w:val="28"/>
        </w:rPr>
        <w:br w:type="page"/>
      </w:r>
    </w:p>
    <w:p w14:paraId="515AFB67" w14:textId="085241D3" w:rsidR="00F5287D" w:rsidRPr="00B43CE9" w:rsidRDefault="00A51E67" w:rsidP="00F5287D">
      <w:pPr>
        <w:pStyle w:val="2"/>
        <w:numPr>
          <w:ilvl w:val="0"/>
          <w:numId w:val="13"/>
        </w:numPr>
        <w:rPr>
          <w:rFonts w:eastAsia="標楷體" w:cs="Times New Roman"/>
          <w:szCs w:val="28"/>
        </w:rPr>
      </w:pPr>
      <w:r w:rsidRPr="00B43CE9">
        <w:rPr>
          <w:rFonts w:eastAsia="標楷體" w:cs="Times New Roman"/>
          <w:szCs w:val="28"/>
        </w:rPr>
        <w:lastRenderedPageBreak/>
        <w:t>服務</w:t>
      </w:r>
      <w:r w:rsidR="00BA762E" w:rsidRPr="00B43CE9">
        <w:rPr>
          <w:rFonts w:eastAsia="標楷體" w:cs="Times New Roman"/>
          <w:szCs w:val="28"/>
        </w:rPr>
        <w:t>照片</w:t>
      </w:r>
      <w:r w:rsidR="005B4720" w:rsidRPr="00B43CE9">
        <w:rPr>
          <w:rFonts w:eastAsia="標楷體" w:cs="Times New Roman"/>
          <w:szCs w:val="28"/>
        </w:rPr>
        <w:t>或型錄</w:t>
      </w:r>
      <w:r w:rsidR="00BA762E" w:rsidRPr="00B43CE9">
        <w:rPr>
          <w:rFonts w:eastAsia="標楷體" w:cs="Times New Roman"/>
          <w:szCs w:val="28"/>
        </w:rPr>
        <w:t>：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請提供上述產品特性與功能介紹之產品照片</w:t>
      </w:r>
      <w:r w:rsidR="005B4720" w:rsidRPr="00B43CE9">
        <w:rPr>
          <w:rFonts w:eastAsia="標楷體" w:cs="Times New Roman"/>
          <w:color w:val="A6A6A6" w:themeColor="background1" w:themeShade="A6"/>
          <w:szCs w:val="28"/>
        </w:rPr>
        <w:t>或型錄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與對應之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ccc code</w:t>
      </w:r>
      <w:r w:rsidR="00BA762E" w:rsidRPr="00B43CE9">
        <w:rPr>
          <w:rFonts w:eastAsia="標楷體" w:cs="Times New Roman"/>
          <w:color w:val="A6A6A6" w:themeColor="background1" w:themeShade="A6"/>
          <w:szCs w:val="28"/>
        </w:rPr>
        <w:t>。</w:t>
      </w:r>
    </w:p>
    <w:bookmarkEnd w:id="0"/>
    <w:p w14:paraId="6879DBC4" w14:textId="6E730F99" w:rsidR="004E5656" w:rsidRPr="00B43CE9" w:rsidRDefault="004E5656" w:rsidP="004E5656">
      <w:pPr>
        <w:pStyle w:val="2"/>
        <w:ind w:left="720"/>
        <w:rPr>
          <w:rFonts w:eastAsia="標楷體" w:cs="Times New Roman"/>
          <w:szCs w:val="28"/>
        </w:rPr>
      </w:pPr>
      <w:r w:rsidRPr="00B43CE9">
        <w:rPr>
          <w:rFonts w:eastAsia="標楷體" w:cs="Times New Roman"/>
          <w:noProof/>
          <w:szCs w:val="28"/>
        </w:rPr>
        <w:drawing>
          <wp:inline distT="0" distB="0" distL="0" distR="0" wp14:anchorId="6C1084F8" wp14:editId="23A8E203">
            <wp:extent cx="8212347" cy="2927094"/>
            <wp:effectExtent l="0" t="0" r="0" b="6985"/>
            <wp:docPr id="5831530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787" cy="292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A585B" w14:textId="77777777" w:rsidR="004E5656" w:rsidRPr="00B43CE9" w:rsidRDefault="004E5656">
      <w:pPr>
        <w:widowControl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br w:type="page"/>
      </w:r>
    </w:p>
    <w:p w14:paraId="7F66F715" w14:textId="61EB7167" w:rsidR="00BA762E" w:rsidRPr="00B43CE9" w:rsidRDefault="00BA762E" w:rsidP="004E5656">
      <w:pPr>
        <w:adjustRightInd w:val="0"/>
        <w:snapToGrid w:val="0"/>
        <w:spacing w:afterLines="100" w:after="360" w:line="300" w:lineRule="exact"/>
        <w:textAlignment w:val="baseline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lastRenderedPageBreak/>
        <w:t>三、生命週期流程圖及單位</w:t>
      </w:r>
    </w:p>
    <w:p w14:paraId="2C21E208" w14:textId="77777777" w:rsidR="00BA762E" w:rsidRPr="00B43CE9" w:rsidRDefault="00BA762E" w:rsidP="004E5656">
      <w:pPr>
        <w:pStyle w:val="2"/>
        <w:numPr>
          <w:ilvl w:val="0"/>
          <w:numId w:val="14"/>
        </w:numPr>
        <w:spacing w:line="200" w:lineRule="exact"/>
        <w:ind w:hanging="482"/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t>生命週期流程圖</w:t>
      </w:r>
      <w:r w:rsidRPr="00B43CE9">
        <w:rPr>
          <w:rFonts w:eastAsia="標楷體" w:cs="Times New Roman"/>
          <w:color w:val="A6A6A6" w:themeColor="background1" w:themeShade="A6"/>
          <w:szCs w:val="28"/>
        </w:rPr>
        <w:t>(</w:t>
      </w:r>
      <w:r w:rsidRPr="00B43CE9">
        <w:rPr>
          <w:rFonts w:eastAsia="標楷體" w:cs="Times New Roman"/>
          <w:color w:val="A6A6A6" w:themeColor="background1" w:themeShade="A6"/>
          <w:szCs w:val="28"/>
        </w:rPr>
        <w:t>請以圖示方式清楚繪製該</w:t>
      </w:r>
      <w:r w:rsidRPr="00B43CE9">
        <w:rPr>
          <w:rFonts w:eastAsia="標楷體" w:cs="Times New Roman"/>
          <w:color w:val="A6A6A6" w:themeColor="background1" w:themeShade="A6"/>
          <w:szCs w:val="28"/>
        </w:rPr>
        <w:t>PCR</w:t>
      </w:r>
      <w:r w:rsidRPr="00B43CE9">
        <w:rPr>
          <w:rFonts w:eastAsia="標楷體" w:cs="Times New Roman"/>
          <w:color w:val="A6A6A6" w:themeColor="background1" w:themeShade="A6"/>
          <w:szCs w:val="28"/>
        </w:rPr>
        <w:t>之各生命週期階段流程圖</w:t>
      </w:r>
      <w:r w:rsidRPr="00B43CE9">
        <w:rPr>
          <w:rFonts w:eastAsia="標楷體" w:cs="Times New Roman"/>
          <w:color w:val="A6A6A6" w:themeColor="background1" w:themeShade="A6"/>
          <w:szCs w:val="28"/>
        </w:rPr>
        <w:t>)</w:t>
      </w:r>
      <w:r w:rsidRPr="00B43CE9">
        <w:rPr>
          <w:rFonts w:eastAsia="標楷體" w:cs="Times New Roman"/>
          <w:color w:val="000000" w:themeColor="text1"/>
          <w:szCs w:val="28"/>
        </w:rPr>
        <w:t>：</w:t>
      </w:r>
    </w:p>
    <w:p w14:paraId="358C63F6" w14:textId="2047627C" w:rsidR="005F7A52" w:rsidRPr="00B43CE9" w:rsidRDefault="00FC2CC6" w:rsidP="005F7A52">
      <w:pPr>
        <w:pStyle w:val="2"/>
        <w:ind w:left="240"/>
        <w:rPr>
          <w:rFonts w:eastAsia="標楷體" w:cs="Times New Roman"/>
          <w:color w:val="000000" w:themeColor="text1"/>
          <w:szCs w:val="28"/>
        </w:rPr>
      </w:pPr>
      <w:r>
        <w:object w:dxaOrig="11460" w:dyaOrig="13830" w14:anchorId="2DF61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424.5pt" o:ole="">
            <v:imagedata r:id="rId9" o:title=""/>
          </v:shape>
          <o:OLEObject Type="Embed" ProgID="Visio.Drawing.15" ShapeID="_x0000_i1025" DrawAspect="Content" ObjectID="_1772630157" r:id="rId10"/>
        </w:object>
      </w:r>
    </w:p>
    <w:p w14:paraId="4BBFD33C" w14:textId="009DC602" w:rsidR="00BA762E" w:rsidRPr="00B43CE9" w:rsidRDefault="00BA762E" w:rsidP="00BA762E">
      <w:pPr>
        <w:pStyle w:val="2"/>
        <w:numPr>
          <w:ilvl w:val="0"/>
          <w:numId w:val="14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lastRenderedPageBreak/>
        <w:t>功能單位</w:t>
      </w:r>
      <w:r w:rsidRPr="00B43CE9">
        <w:rPr>
          <w:rFonts w:eastAsia="標楷體" w:cs="Times New Roman"/>
          <w:color w:val="A6A6A6" w:themeColor="background1" w:themeShade="A6"/>
          <w:szCs w:val="28"/>
        </w:rPr>
        <w:t>(</w:t>
      </w:r>
      <w:r w:rsidRPr="00B43CE9">
        <w:rPr>
          <w:rFonts w:eastAsia="標楷體" w:cs="Times New Roman"/>
          <w:color w:val="A6A6A6" w:themeColor="background1" w:themeShade="A6"/>
          <w:szCs w:val="28"/>
        </w:rPr>
        <w:t>可適用於該</w:t>
      </w:r>
      <w:r w:rsidRPr="00B43CE9">
        <w:rPr>
          <w:rFonts w:eastAsia="標楷體" w:cs="Times New Roman"/>
          <w:color w:val="A6A6A6" w:themeColor="background1" w:themeShade="A6"/>
          <w:szCs w:val="28"/>
        </w:rPr>
        <w:t>PCR</w:t>
      </w:r>
      <w:r w:rsidRPr="00B43CE9">
        <w:rPr>
          <w:rFonts w:eastAsia="標楷體" w:cs="Times New Roman"/>
          <w:color w:val="A6A6A6" w:themeColor="background1" w:themeShade="A6"/>
          <w:szCs w:val="28"/>
        </w:rPr>
        <w:t>，並能充分展現其產品功能特性之單位</w:t>
      </w:r>
      <w:r w:rsidRPr="00B43CE9">
        <w:rPr>
          <w:rFonts w:eastAsia="標楷體" w:cs="Times New Roman"/>
          <w:color w:val="A6A6A6" w:themeColor="background1" w:themeShade="A6"/>
          <w:szCs w:val="28"/>
        </w:rPr>
        <w:t>)</w:t>
      </w:r>
      <w:r w:rsidRPr="00B43CE9">
        <w:rPr>
          <w:rFonts w:eastAsia="標楷體" w:cs="Times New Roman"/>
          <w:color w:val="000000" w:themeColor="text1"/>
          <w:szCs w:val="28"/>
        </w:rPr>
        <w:t>：</w:t>
      </w:r>
      <w:r w:rsidR="00A51E67" w:rsidRPr="00B43CE9">
        <w:rPr>
          <w:rFonts w:eastAsia="標楷體" w:cs="Times New Roman"/>
          <w:color w:val="000000" w:themeColor="text1"/>
          <w:szCs w:val="28"/>
        </w:rPr>
        <w:t>每</w:t>
      </w:r>
      <w:r w:rsidR="004E5656" w:rsidRPr="00B43CE9">
        <w:rPr>
          <w:rFonts w:eastAsia="標楷體" w:cs="Times New Roman"/>
          <w:color w:val="000000" w:themeColor="text1"/>
          <w:szCs w:val="28"/>
        </w:rPr>
        <w:t>公升</w:t>
      </w:r>
      <w:r w:rsidR="00A51E67" w:rsidRPr="00B43CE9">
        <w:rPr>
          <w:rFonts w:eastAsia="標楷體" w:cs="Times New Roman"/>
          <w:color w:val="000000" w:themeColor="text1"/>
          <w:szCs w:val="28"/>
        </w:rPr>
        <w:t>加油服務</w:t>
      </w:r>
    </w:p>
    <w:p w14:paraId="191774E6" w14:textId="3FC1F9BE" w:rsidR="00BA762E" w:rsidRPr="00B43CE9" w:rsidRDefault="00BA762E" w:rsidP="00BA762E">
      <w:pPr>
        <w:pStyle w:val="2"/>
        <w:numPr>
          <w:ilvl w:val="0"/>
          <w:numId w:val="14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t>標示單位</w:t>
      </w:r>
      <w:r w:rsidRPr="00B43CE9">
        <w:rPr>
          <w:rFonts w:eastAsia="標楷體" w:cs="Times New Roman"/>
          <w:color w:val="A6A6A6" w:themeColor="background1" w:themeShade="A6"/>
          <w:szCs w:val="28"/>
        </w:rPr>
        <w:t>(</w:t>
      </w:r>
      <w:r w:rsidRPr="00B43CE9">
        <w:rPr>
          <w:rFonts w:eastAsia="標楷體" w:cs="Times New Roman"/>
          <w:color w:val="A6A6A6" w:themeColor="background1" w:themeShade="A6"/>
          <w:szCs w:val="28"/>
        </w:rPr>
        <w:t>可適用於該</w:t>
      </w:r>
      <w:r w:rsidRPr="00B43CE9">
        <w:rPr>
          <w:rFonts w:eastAsia="標楷體" w:cs="Times New Roman"/>
          <w:color w:val="A6A6A6" w:themeColor="background1" w:themeShade="A6"/>
          <w:szCs w:val="28"/>
        </w:rPr>
        <w:t>PCR</w:t>
      </w:r>
      <w:r w:rsidRPr="00B43CE9">
        <w:rPr>
          <w:rFonts w:eastAsia="標楷體" w:cs="Times New Roman"/>
          <w:color w:val="A6A6A6" w:themeColor="background1" w:themeShade="A6"/>
          <w:szCs w:val="28"/>
        </w:rPr>
        <w:t>，並能直接與消費者溝通之單位</w:t>
      </w:r>
      <w:r w:rsidR="0047036A" w:rsidRPr="00B43CE9">
        <w:rPr>
          <w:rFonts w:eastAsia="標楷體" w:cs="Times New Roman"/>
          <w:color w:val="A6A6A6" w:themeColor="background1" w:themeShade="A6"/>
          <w:szCs w:val="28"/>
        </w:rPr>
        <w:t>)</w:t>
      </w:r>
      <w:r w:rsidRPr="00B43CE9">
        <w:rPr>
          <w:rFonts w:eastAsia="標楷體" w:cs="Times New Roman"/>
          <w:color w:val="000000" w:themeColor="text1"/>
          <w:szCs w:val="28"/>
        </w:rPr>
        <w:t>：</w:t>
      </w:r>
      <w:r w:rsidR="004E5656" w:rsidRPr="00B43CE9">
        <w:rPr>
          <w:rFonts w:eastAsia="標楷體" w:cs="Times New Roman"/>
          <w:color w:val="000000" w:themeColor="text1"/>
          <w:szCs w:val="28"/>
        </w:rPr>
        <w:t>每公升加油服務</w:t>
      </w:r>
    </w:p>
    <w:p w14:paraId="33EC55B3" w14:textId="2346CA33" w:rsidR="00BA762E" w:rsidRPr="00B43CE9" w:rsidRDefault="00BA762E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color w:val="A6A6A6" w:themeColor="background1" w:themeShade="A6"/>
          <w:szCs w:val="28"/>
        </w:rPr>
      </w:pPr>
      <w:r w:rsidRPr="002A5E91">
        <w:rPr>
          <w:rFonts w:ascii="Times New Roman" w:eastAsia="標楷體" w:hAnsi="Times New Roman" w:cs="Times New Roman"/>
          <w:b/>
          <w:sz w:val="32"/>
          <w:szCs w:val="28"/>
        </w:rPr>
        <w:t>四、</w:t>
      </w:r>
      <w:bookmarkStart w:id="1" w:name="_Hlk125800340"/>
      <w:r w:rsidRPr="002A5E91">
        <w:rPr>
          <w:rFonts w:ascii="Times New Roman" w:eastAsia="標楷體" w:hAnsi="Times New Roman" w:cs="Times New Roman"/>
          <w:b/>
          <w:sz w:val="32"/>
          <w:szCs w:val="28"/>
        </w:rPr>
        <w:t>工作組織架構</w:t>
      </w:r>
      <w:bookmarkEnd w:id="1"/>
      <w:r w:rsidRPr="00B43CE9">
        <w:rPr>
          <w:rFonts w:ascii="Times New Roman" w:eastAsia="標楷體" w:hAnsi="Times New Roman" w:cs="Times New Roman"/>
          <w:color w:val="A6A6A6" w:themeColor="background1" w:themeShade="A6"/>
          <w:szCs w:val="28"/>
        </w:rPr>
        <w:t>(</w:t>
      </w:r>
      <w:bookmarkStart w:id="2" w:name="_Hlk125800364"/>
      <w:r w:rsidRPr="00B43CE9">
        <w:rPr>
          <w:rFonts w:ascii="Times New Roman" w:eastAsia="標楷體" w:hAnsi="Times New Roman" w:cs="Times New Roman"/>
          <w:color w:val="A6A6A6" w:themeColor="background1" w:themeShade="A6"/>
          <w:szCs w:val="28"/>
        </w:rPr>
        <w:t>請以圖示方式說明訂定</w:t>
      </w:r>
      <w:r w:rsidRPr="00B43CE9">
        <w:rPr>
          <w:rFonts w:ascii="Times New Roman" w:eastAsia="標楷體" w:hAnsi="Times New Roman" w:cs="Times New Roman"/>
          <w:color w:val="A6A6A6" w:themeColor="background1" w:themeShade="A6"/>
          <w:szCs w:val="28"/>
        </w:rPr>
        <w:t>PCR</w:t>
      </w:r>
      <w:r w:rsidRPr="00B43CE9">
        <w:rPr>
          <w:rFonts w:ascii="Times New Roman" w:eastAsia="標楷體" w:hAnsi="Times New Roman" w:cs="Times New Roman"/>
          <w:color w:val="A6A6A6" w:themeColor="background1" w:themeShade="A6"/>
          <w:szCs w:val="28"/>
        </w:rPr>
        <w:t>的內部工作結構</w:t>
      </w:r>
      <w:bookmarkEnd w:id="2"/>
      <w:r w:rsidRPr="00B43CE9">
        <w:rPr>
          <w:rFonts w:ascii="Times New Roman" w:eastAsia="標楷體" w:hAnsi="Times New Roman" w:cs="Times New Roman"/>
          <w:color w:val="A6A6A6" w:themeColor="background1" w:themeShade="A6"/>
          <w:szCs w:val="28"/>
        </w:rPr>
        <w:t>)</w:t>
      </w:r>
    </w:p>
    <w:p w14:paraId="127F392B" w14:textId="5F1BB005" w:rsidR="00B43CE9" w:rsidRPr="00B43CE9" w:rsidRDefault="002A5E91" w:rsidP="002A5E91">
      <w:pPr>
        <w:adjustRightInd w:val="0"/>
        <w:snapToGrid w:val="0"/>
        <w:spacing w:afterLines="100" w:after="360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977AFB">
        <w:rPr>
          <w:rFonts w:ascii="Times New Roman" w:eastAsia="標楷體" w:hAnsi="Times New Roman" w:cs="Times New Roman"/>
          <w:noProof/>
          <w:color w:val="FF0000"/>
          <w:szCs w:val="28"/>
        </w:rPr>
        <w:drawing>
          <wp:inline distT="0" distB="0" distL="0" distR="0" wp14:anchorId="443C9160" wp14:editId="02D99B99">
            <wp:extent cx="8863330" cy="3326130"/>
            <wp:effectExtent l="0" t="0" r="0" b="0"/>
            <wp:docPr id="65" name="圖片 64" descr="一張含有 文字, 螢幕擷取畫面, 陳列, Rectangle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9A6AD137-8253-4E43-B3B2-4738D9AD7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4" descr="一張含有 文字, 螢幕擷取畫面, 陳列, Rectangle 的圖片&#10;&#10;自動產生的描述">
                      <a:extLst>
                        <a:ext uri="{FF2B5EF4-FFF2-40B4-BE49-F238E27FC236}">
                          <a16:creationId xmlns:a16="http://schemas.microsoft.com/office/drawing/2014/main" id="{9A6AD137-8253-4E43-B3B2-4738D9AD7F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79FA" w14:textId="77777777" w:rsidR="00B43CE9" w:rsidRPr="00B43CE9" w:rsidRDefault="00B43CE9">
      <w:pPr>
        <w:widowControl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br w:type="page"/>
      </w:r>
    </w:p>
    <w:p w14:paraId="062A526E" w14:textId="5F9A7626" w:rsidR="00BA762E" w:rsidRPr="00B43CE9" w:rsidRDefault="00BA762E" w:rsidP="00BA762E">
      <w:pPr>
        <w:spacing w:beforeLines="50" w:before="18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lastRenderedPageBreak/>
        <w:t>五、利害相關者界定名單</w:t>
      </w:r>
      <w:r w:rsidRPr="00B43CE9">
        <w:rPr>
          <w:rFonts w:ascii="Times New Roman" w:eastAsia="標楷體" w:hAnsi="Times New Roman" w:cs="Times New Roman"/>
          <w:color w:val="A6A6A6" w:themeColor="background1" w:themeShade="A6"/>
          <w:szCs w:val="24"/>
        </w:rPr>
        <w:t>(</w:t>
      </w:r>
      <w:r w:rsidRPr="00B43CE9">
        <w:rPr>
          <w:rFonts w:ascii="Times New Roman" w:eastAsia="標楷體" w:hAnsi="Times New Roman" w:cs="Times New Roman"/>
          <w:color w:val="A6A6A6" w:themeColor="background1" w:themeShade="A6"/>
          <w:szCs w:val="24"/>
        </w:rPr>
        <w:t>請盡可能完整列出後續利害相關者會議召開時規劃邀請之對象</w:t>
      </w:r>
      <w:r w:rsidR="0047036A" w:rsidRPr="00B43CE9">
        <w:rPr>
          <w:rFonts w:ascii="Times New Roman" w:eastAsia="標楷體" w:hAnsi="Times New Roman" w:cs="Times New Roman"/>
          <w:color w:val="A6A6A6" w:themeColor="background1" w:themeShade="A6"/>
          <w:szCs w:val="24"/>
        </w:rPr>
        <w:t>)</w:t>
      </w:r>
    </w:p>
    <w:p w14:paraId="20A8E8CE" w14:textId="77777777" w:rsidR="00BA762E" w:rsidRPr="002453C3" w:rsidRDefault="00BA762E" w:rsidP="002453C3">
      <w:pPr>
        <w:pStyle w:val="2"/>
        <w:numPr>
          <w:ilvl w:val="0"/>
          <w:numId w:val="15"/>
        </w:numPr>
        <w:spacing w:line="300" w:lineRule="exact"/>
        <w:ind w:hanging="482"/>
        <w:rPr>
          <w:rFonts w:eastAsia="標楷體" w:cs="Times New Roman"/>
          <w:color w:val="000000" w:themeColor="text1"/>
        </w:rPr>
      </w:pPr>
      <w:r w:rsidRPr="00B43CE9">
        <w:rPr>
          <w:rFonts w:eastAsia="標楷體" w:cs="Times New Roman"/>
          <w:color w:val="000000" w:themeColor="text1"/>
        </w:rPr>
        <w:t>專家學者</w:t>
      </w:r>
      <w:r w:rsidRPr="002453C3">
        <w:rPr>
          <w:rFonts w:eastAsia="標楷體" w:cs="Times New Roman"/>
          <w:color w:val="A6A6A6" w:themeColor="background1" w:themeShade="A6"/>
        </w:rPr>
        <w:t>(</w:t>
      </w:r>
      <w:r w:rsidRPr="002453C3">
        <w:rPr>
          <w:rFonts w:eastAsia="標楷體" w:cs="Times New Roman"/>
          <w:color w:val="A6A6A6" w:themeColor="background1" w:themeShade="A6"/>
        </w:rPr>
        <w:t>請至產品碳足跡資訊網的「資料下載專區」</w:t>
      </w:r>
      <w:r w:rsidRPr="002453C3">
        <w:rPr>
          <w:rFonts w:eastAsia="標楷體" w:cs="Times New Roman"/>
          <w:color w:val="A6A6A6" w:themeColor="background1" w:themeShade="A6"/>
        </w:rPr>
        <w:t>→</w:t>
      </w:r>
      <w:r w:rsidRPr="002453C3">
        <w:rPr>
          <w:rFonts w:eastAsia="標楷體" w:cs="Times New Roman"/>
          <w:color w:val="A6A6A6" w:themeColor="background1" w:themeShade="A6"/>
        </w:rPr>
        <w:t>「手冊與工具」</w:t>
      </w:r>
      <w:r w:rsidRPr="002453C3">
        <w:rPr>
          <w:rFonts w:eastAsia="標楷體" w:cs="Times New Roman"/>
          <w:color w:val="A6A6A6" w:themeColor="background1" w:themeShade="A6"/>
        </w:rPr>
        <w:t>→</w:t>
      </w:r>
      <w:r w:rsidRPr="002453C3">
        <w:rPr>
          <w:rFonts w:eastAsia="標楷體" w:cs="Times New Roman"/>
          <w:color w:val="A6A6A6" w:themeColor="background1" w:themeShade="A6"/>
        </w:rPr>
        <w:t>下載「碳足跡產品類別規則專家學者名單」，並列出後續規劃邀約之專家學者</w:t>
      </w:r>
      <w:r w:rsidRPr="002453C3">
        <w:rPr>
          <w:rFonts w:eastAsia="標楷體" w:cs="Times New Roman"/>
          <w:color w:val="A6A6A6" w:themeColor="background1" w:themeShade="A6"/>
        </w:rPr>
        <w:t>)</w:t>
      </w:r>
    </w:p>
    <w:p w14:paraId="5BCF488C" w14:textId="77777777" w:rsidR="002A5E91" w:rsidRPr="002918BF" w:rsidRDefault="002A5E91" w:rsidP="002A5E91">
      <w:pPr>
        <w:pStyle w:val="2"/>
        <w:spacing w:line="400" w:lineRule="exact"/>
        <w:ind w:left="720"/>
        <w:rPr>
          <w:rFonts w:eastAsia="標楷體" w:cs="Times New Roman"/>
          <w:color w:val="0000FF"/>
        </w:rPr>
      </w:pPr>
      <w:r w:rsidRPr="002918BF">
        <w:rPr>
          <w:rFonts w:eastAsia="標楷體" w:cs="Times New Roman" w:hint="eastAsia"/>
          <w:color w:val="0000FF"/>
        </w:rPr>
        <w:t>申永順：馬偕醫學院高齡福祉科技研究所</w:t>
      </w:r>
      <w:r w:rsidRPr="002918BF">
        <w:rPr>
          <w:rFonts w:eastAsia="標楷體" w:cs="Times New Roman" w:hint="eastAsia"/>
          <w:color w:val="0000FF"/>
        </w:rPr>
        <w:t xml:space="preserve"> </w:t>
      </w:r>
      <w:r w:rsidRPr="002918BF">
        <w:rPr>
          <w:rFonts w:eastAsia="標楷體" w:cs="Times New Roman" w:hint="eastAsia"/>
          <w:color w:val="0000FF"/>
        </w:rPr>
        <w:t>副教授兼主任秘書</w:t>
      </w:r>
    </w:p>
    <w:p w14:paraId="3A1F1AD2" w14:textId="77777777" w:rsidR="002A5E91" w:rsidRPr="00EE2945" w:rsidRDefault="002A5E91" w:rsidP="002A5E91">
      <w:pPr>
        <w:pStyle w:val="2"/>
        <w:spacing w:line="400" w:lineRule="exact"/>
        <w:ind w:left="720"/>
        <w:rPr>
          <w:rFonts w:eastAsia="標楷體" w:cs="Times New Roman"/>
          <w:color w:val="0000FF"/>
        </w:rPr>
      </w:pPr>
      <w:r w:rsidRPr="00EE2945">
        <w:rPr>
          <w:rFonts w:eastAsia="標楷體" w:cs="Times New Roman" w:hint="eastAsia"/>
          <w:color w:val="0000FF"/>
        </w:rPr>
        <w:t>郭財吉：國立臺灣科技大學工業管理系</w:t>
      </w:r>
      <w:r w:rsidRPr="00EE2945">
        <w:rPr>
          <w:rFonts w:eastAsia="標楷體" w:cs="Times New Roman" w:hint="eastAsia"/>
          <w:color w:val="0000FF"/>
        </w:rPr>
        <w:t xml:space="preserve"> </w:t>
      </w:r>
      <w:r w:rsidRPr="00EE2945">
        <w:rPr>
          <w:rFonts w:eastAsia="標楷體" w:cs="Times New Roman" w:hint="eastAsia"/>
          <w:color w:val="0000FF"/>
        </w:rPr>
        <w:t>教授</w:t>
      </w:r>
    </w:p>
    <w:p w14:paraId="2E976EA5" w14:textId="61B6B304" w:rsidR="007E48B8" w:rsidRPr="005B4952" w:rsidRDefault="002A5E91" w:rsidP="005B4952">
      <w:pPr>
        <w:pStyle w:val="2"/>
        <w:spacing w:line="400" w:lineRule="exact"/>
        <w:ind w:left="720"/>
        <w:rPr>
          <w:rFonts w:eastAsia="標楷體" w:cs="Times New Roman"/>
          <w:color w:val="0000FF"/>
        </w:rPr>
      </w:pPr>
      <w:r w:rsidRPr="003746A5">
        <w:rPr>
          <w:rFonts w:eastAsia="標楷體" w:cs="Times New Roman" w:hint="eastAsia"/>
          <w:color w:val="0000FF"/>
        </w:rPr>
        <w:t>郭乃文</w:t>
      </w:r>
      <w:r w:rsidRPr="003746A5">
        <w:rPr>
          <w:rFonts w:eastAsia="標楷體" w:cs="Times New Roman" w:hint="eastAsia"/>
          <w:color w:val="0000FF"/>
        </w:rPr>
        <w:t xml:space="preserve"> </w:t>
      </w:r>
      <w:r w:rsidRPr="003746A5">
        <w:rPr>
          <w:rFonts w:eastAsia="標楷體" w:cs="Times New Roman" w:hint="eastAsia"/>
          <w:color w:val="0000FF"/>
        </w:rPr>
        <w:t>國立臺灣師範大學地理系</w:t>
      </w:r>
      <w:r w:rsidRPr="003746A5">
        <w:rPr>
          <w:rFonts w:eastAsia="標楷體" w:cs="Times New Roman" w:hint="eastAsia"/>
          <w:color w:val="0000FF"/>
        </w:rPr>
        <w:t xml:space="preserve"> </w:t>
      </w:r>
      <w:r w:rsidRPr="003746A5">
        <w:rPr>
          <w:rFonts w:eastAsia="標楷體" w:cs="Times New Roman" w:hint="eastAsia"/>
          <w:color w:val="0000FF"/>
        </w:rPr>
        <w:t>教授</w:t>
      </w:r>
    </w:p>
    <w:p w14:paraId="4CAB20E1" w14:textId="19C83154" w:rsidR="002453C3" w:rsidRDefault="007E48B8" w:rsidP="005B4952">
      <w:pPr>
        <w:pStyle w:val="2"/>
        <w:spacing w:line="400" w:lineRule="exact"/>
        <w:ind w:left="720"/>
        <w:rPr>
          <w:rFonts w:eastAsia="標楷體" w:cs="Times New Roman"/>
          <w:color w:val="000000" w:themeColor="text1"/>
        </w:rPr>
      </w:pPr>
      <w:r w:rsidRPr="007E48B8">
        <w:rPr>
          <w:rFonts w:eastAsia="標楷體" w:cs="Times New Roman" w:hint="eastAsia"/>
          <w:color w:val="000000" w:themeColor="text1"/>
        </w:rPr>
        <w:t>楊士賢</w:t>
      </w:r>
      <w:r>
        <w:rPr>
          <w:rFonts w:eastAsia="標楷體" w:cs="Times New Roman" w:hint="eastAsia"/>
          <w:color w:val="000000" w:themeColor="text1"/>
        </w:rPr>
        <w:t>：</w:t>
      </w:r>
      <w:r w:rsidRPr="007E48B8">
        <w:rPr>
          <w:rFonts w:eastAsia="標楷體" w:cs="Times New Roman" w:hint="eastAsia"/>
          <w:color w:val="000000" w:themeColor="text1"/>
        </w:rPr>
        <w:t>國立成功大學土木系</w:t>
      </w:r>
      <w:r>
        <w:rPr>
          <w:rFonts w:eastAsia="標楷體" w:cs="Times New Roman" w:hint="eastAsia"/>
          <w:color w:val="000000" w:themeColor="text1"/>
        </w:rPr>
        <w:t xml:space="preserve"> </w:t>
      </w:r>
      <w:r w:rsidRPr="007E48B8">
        <w:rPr>
          <w:rFonts w:eastAsia="標楷體" w:cs="Times New Roman" w:hint="eastAsia"/>
          <w:color w:val="000000" w:themeColor="text1"/>
        </w:rPr>
        <w:t>副教授</w:t>
      </w:r>
    </w:p>
    <w:p w14:paraId="0ECE87F7" w14:textId="49855FC7" w:rsidR="007E48B8" w:rsidRDefault="007E48B8" w:rsidP="007E48B8">
      <w:pPr>
        <w:pStyle w:val="2"/>
        <w:spacing w:line="400" w:lineRule="exact"/>
        <w:ind w:left="720"/>
        <w:rPr>
          <w:rFonts w:eastAsia="標楷體" w:cs="Times New Roman"/>
          <w:color w:val="000000" w:themeColor="text1"/>
        </w:rPr>
      </w:pPr>
      <w:r w:rsidRPr="007E48B8">
        <w:rPr>
          <w:rFonts w:eastAsia="標楷體" w:cs="Times New Roman" w:hint="eastAsia"/>
          <w:color w:val="000000" w:themeColor="text1"/>
        </w:rPr>
        <w:t>黃文輝</w:t>
      </w:r>
      <w:r>
        <w:rPr>
          <w:rFonts w:eastAsia="標楷體" w:cs="Times New Roman" w:hint="eastAsia"/>
          <w:color w:val="000000" w:themeColor="text1"/>
        </w:rPr>
        <w:t>：</w:t>
      </w:r>
      <w:r w:rsidRPr="007E48B8">
        <w:rPr>
          <w:rFonts w:eastAsia="標楷體" w:cs="Times New Roman" w:hint="eastAsia"/>
          <w:color w:val="000000" w:themeColor="text1"/>
        </w:rPr>
        <w:t>財團法人工業技術研究院</w:t>
      </w:r>
      <w:r w:rsidR="002453C3">
        <w:rPr>
          <w:rFonts w:eastAsia="標楷體" w:cs="Times New Roman" w:hint="eastAsia"/>
          <w:color w:val="000000" w:themeColor="text1"/>
        </w:rPr>
        <w:t xml:space="preserve"> </w:t>
      </w:r>
      <w:r w:rsidR="002453C3" w:rsidRPr="002453C3">
        <w:rPr>
          <w:rFonts w:eastAsia="標楷體" w:cs="Times New Roman" w:hint="eastAsia"/>
          <w:color w:val="000000" w:themeColor="text1"/>
        </w:rPr>
        <w:t>碳管理技術總監</w:t>
      </w:r>
    </w:p>
    <w:p w14:paraId="0CCB9625" w14:textId="17501CA6" w:rsidR="007E48B8" w:rsidRDefault="005B4952" w:rsidP="007E48B8">
      <w:pPr>
        <w:pStyle w:val="2"/>
        <w:spacing w:line="400" w:lineRule="exact"/>
        <w:ind w:left="720"/>
        <w:rPr>
          <w:rFonts w:eastAsia="標楷體" w:cs="Times New Roman"/>
          <w:color w:val="000000" w:themeColor="text1"/>
        </w:rPr>
      </w:pPr>
      <w:r w:rsidRPr="005B4952">
        <w:rPr>
          <w:rFonts w:eastAsia="標楷體" w:cs="Times New Roman" w:hint="eastAsia"/>
          <w:color w:val="000000" w:themeColor="text1"/>
        </w:rPr>
        <w:t>呂明和</w:t>
      </w:r>
      <w:r w:rsidR="002453C3">
        <w:rPr>
          <w:rFonts w:eastAsia="標楷體" w:cs="Times New Roman" w:hint="eastAsia"/>
          <w:color w:val="000000" w:themeColor="text1"/>
        </w:rPr>
        <w:t>：</w:t>
      </w:r>
      <w:r w:rsidRPr="005B4952">
        <w:rPr>
          <w:rFonts w:eastAsia="標楷體" w:cs="Times New Roman" w:hint="eastAsia"/>
          <w:color w:val="000000" w:themeColor="text1"/>
        </w:rPr>
        <w:t>崑山科技大學環境工程系</w:t>
      </w:r>
      <w:r w:rsidRPr="005B4952">
        <w:rPr>
          <w:rFonts w:eastAsia="標楷體" w:cs="Times New Roman" w:hint="eastAsia"/>
          <w:color w:val="000000" w:themeColor="text1"/>
        </w:rPr>
        <w:t>(</w:t>
      </w:r>
      <w:r w:rsidRPr="005B4952">
        <w:rPr>
          <w:rFonts w:eastAsia="標楷體" w:cs="Times New Roman" w:hint="eastAsia"/>
          <w:color w:val="000000" w:themeColor="text1"/>
        </w:rPr>
        <w:t>退休</w:t>
      </w:r>
      <w:r w:rsidRPr="005B4952">
        <w:rPr>
          <w:rFonts w:eastAsia="標楷體" w:cs="Times New Roman" w:hint="eastAsia"/>
          <w:color w:val="000000" w:themeColor="text1"/>
        </w:rPr>
        <w:t xml:space="preserve">) </w:t>
      </w:r>
      <w:r w:rsidRPr="005B4952">
        <w:rPr>
          <w:rFonts w:eastAsia="標楷體" w:cs="Times New Roman" w:hint="eastAsia"/>
          <w:color w:val="000000" w:themeColor="text1"/>
        </w:rPr>
        <w:t>副教授</w:t>
      </w:r>
    </w:p>
    <w:p w14:paraId="0FDDEEA9" w14:textId="77777777" w:rsidR="002453C3" w:rsidRPr="002A5E91" w:rsidRDefault="002453C3" w:rsidP="007E48B8">
      <w:pPr>
        <w:pStyle w:val="2"/>
        <w:spacing w:line="400" w:lineRule="exact"/>
        <w:ind w:left="720"/>
        <w:rPr>
          <w:rFonts w:eastAsia="標楷體" w:cs="Times New Roman"/>
        </w:rPr>
      </w:pPr>
    </w:p>
    <w:p w14:paraId="64284215" w14:textId="77777777" w:rsidR="00BA762E" w:rsidRPr="002A5E91" w:rsidRDefault="00BA762E" w:rsidP="00BA762E">
      <w:pPr>
        <w:pStyle w:val="2"/>
        <w:numPr>
          <w:ilvl w:val="0"/>
          <w:numId w:val="15"/>
        </w:numPr>
        <w:rPr>
          <w:rFonts w:eastAsia="標楷體" w:cs="Times New Roman"/>
        </w:rPr>
      </w:pPr>
      <w:r w:rsidRPr="002A5E91">
        <w:rPr>
          <w:rFonts w:eastAsia="標楷體" w:cs="Times New Roman"/>
        </w:rPr>
        <w:t>同業與公協會</w:t>
      </w:r>
    </w:p>
    <w:p w14:paraId="229EE094" w14:textId="77777777" w:rsidR="002A5E91" w:rsidRPr="002A5E91" w:rsidRDefault="002A5E91" w:rsidP="002A5E91">
      <w:pPr>
        <w:pStyle w:val="2"/>
        <w:spacing w:line="400" w:lineRule="exact"/>
        <w:ind w:left="720"/>
        <w:rPr>
          <w:rFonts w:eastAsia="標楷體" w:cs="Times New Roman"/>
        </w:rPr>
      </w:pPr>
      <w:r w:rsidRPr="002A5E91">
        <w:rPr>
          <w:rFonts w:eastAsia="標楷體" w:cs="Times New Roman" w:hint="eastAsia"/>
        </w:rPr>
        <w:t>台北市加油站商業同業公會、中華民國加油站商業同業公會全國聯合會</w:t>
      </w:r>
      <w:r w:rsidRPr="002A5E91">
        <w:rPr>
          <w:rFonts w:eastAsia="標楷體" w:cs="Times New Roman" w:hint="eastAsia"/>
        </w:rPr>
        <w:t>(</w:t>
      </w:r>
      <w:r w:rsidRPr="002A5E91">
        <w:rPr>
          <w:rFonts w:eastAsia="標楷體" w:cs="Times New Roman" w:hint="eastAsia"/>
        </w:rPr>
        <w:t>新北市加油站商業同業公會、桃園市加油站商業同業公會、新竹市加油站商業同業公會、新竹縣加油站商業同業公會、苗栗縣加油站商業同業公會、台中市加油站商業同業公會、台中市直轄加油商業同業公會、彰化縣加油站商業同業公會、南投縣加油站商業同業公會、雲林縣加油站商業同業公會、嘉義市加油站商業同業公會、嘉義縣加油站商業同業公會、台南市加油站商業同業公會、臺南市大台南加油站商業同業公會、高雄市直轄市加油站商業同業公會、屏東縣加油站商業同業公會、台東縣加油站商業同業公會、花蓮縣加油站商業同業公會、宜蘭縣加油站商業同業公會、金門縣加油站商業同業公會</w:t>
      </w:r>
      <w:r w:rsidRPr="002A5E91">
        <w:rPr>
          <w:rFonts w:eastAsia="標楷體" w:cs="Times New Roman" w:hint="eastAsia"/>
        </w:rPr>
        <w:t>)</w:t>
      </w:r>
    </w:p>
    <w:p w14:paraId="5D65EB11" w14:textId="77777777" w:rsidR="004E5656" w:rsidRPr="002A5E91" w:rsidRDefault="004E5656" w:rsidP="004E5656">
      <w:pPr>
        <w:pStyle w:val="2"/>
        <w:ind w:left="720"/>
        <w:rPr>
          <w:rFonts w:eastAsia="標楷體" w:cs="Times New Roman"/>
        </w:rPr>
      </w:pPr>
    </w:p>
    <w:p w14:paraId="6D293F37" w14:textId="77777777" w:rsidR="00BA762E" w:rsidRPr="002A5E91" w:rsidRDefault="00BA762E" w:rsidP="00BA762E">
      <w:pPr>
        <w:pStyle w:val="2"/>
        <w:numPr>
          <w:ilvl w:val="0"/>
          <w:numId w:val="15"/>
        </w:numPr>
        <w:rPr>
          <w:rFonts w:eastAsia="標楷體" w:cs="Times New Roman"/>
        </w:rPr>
      </w:pPr>
      <w:r w:rsidRPr="002A5E91">
        <w:rPr>
          <w:rFonts w:eastAsia="標楷體" w:cs="Times New Roman"/>
        </w:rPr>
        <w:t>上下游廠商</w:t>
      </w:r>
    </w:p>
    <w:p w14:paraId="7A5960A2" w14:textId="77777777" w:rsidR="004E5656" w:rsidRPr="002A5E91" w:rsidRDefault="004E5656" w:rsidP="004E5656">
      <w:pPr>
        <w:pStyle w:val="a3"/>
        <w:rPr>
          <w:rFonts w:eastAsia="標楷體"/>
        </w:rPr>
      </w:pPr>
    </w:p>
    <w:p w14:paraId="253EEEBC" w14:textId="77777777" w:rsidR="004E5656" w:rsidRPr="00B43CE9" w:rsidRDefault="004E5656" w:rsidP="004E5656">
      <w:pPr>
        <w:pStyle w:val="2"/>
        <w:ind w:left="720"/>
        <w:rPr>
          <w:rFonts w:eastAsia="標楷體" w:cs="Times New Roman"/>
          <w:color w:val="000000" w:themeColor="text1"/>
        </w:rPr>
      </w:pPr>
    </w:p>
    <w:p w14:paraId="78E03C0D" w14:textId="77777777" w:rsidR="00347F8D" w:rsidRDefault="00347F8D" w:rsidP="00BA762E">
      <w:pPr>
        <w:spacing w:beforeLines="50" w:before="180"/>
        <w:rPr>
          <w:rFonts w:ascii="Times New Roman" w:eastAsia="標楷體" w:hAnsi="Times New Roman" w:cs="Times New Roman"/>
          <w:b/>
          <w:color w:val="000000" w:themeColor="text1"/>
          <w:sz w:val="32"/>
        </w:rPr>
      </w:pPr>
    </w:p>
    <w:p w14:paraId="626B1C89" w14:textId="1F82D2DD" w:rsidR="00BA762E" w:rsidRPr="00B43CE9" w:rsidRDefault="00BA762E" w:rsidP="00BA762E">
      <w:pPr>
        <w:spacing w:beforeLines="50" w:before="180"/>
        <w:rPr>
          <w:rFonts w:ascii="Times New Roman" w:eastAsia="標楷體" w:hAnsi="Times New Roman" w:cs="Times New Roman"/>
          <w:b/>
          <w:color w:val="000000" w:themeColor="text1"/>
          <w:sz w:val="32"/>
        </w:rPr>
      </w:pPr>
      <w:r w:rsidRPr="00B43CE9">
        <w:rPr>
          <w:rFonts w:ascii="Times New Roman" w:eastAsia="標楷體" w:hAnsi="Times New Roman" w:cs="Times New Roman"/>
          <w:b/>
          <w:color w:val="000000" w:themeColor="text1"/>
          <w:sz w:val="32"/>
        </w:rPr>
        <w:t>六、輔導單位</w:t>
      </w:r>
    </w:p>
    <w:p w14:paraId="4232A1D7" w14:textId="5149BA75" w:rsidR="00BA762E" w:rsidRPr="00B43CE9" w:rsidRDefault="00BA762E" w:rsidP="00BA762E">
      <w:pPr>
        <w:pStyle w:val="2"/>
        <w:numPr>
          <w:ilvl w:val="0"/>
          <w:numId w:val="17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lastRenderedPageBreak/>
        <w:t>輔導單位公司名稱：</w:t>
      </w:r>
      <w:r w:rsidRPr="00B43CE9">
        <w:rPr>
          <w:rFonts w:eastAsia="標楷體" w:cs="Times New Roman"/>
          <w:color w:val="000000" w:themeColor="text1"/>
          <w:szCs w:val="28"/>
        </w:rPr>
        <w:t xml:space="preserve"> </w:t>
      </w:r>
      <w:r w:rsidR="00B353D9" w:rsidRPr="00B43CE9">
        <w:rPr>
          <w:rFonts w:eastAsia="標楷體" w:cs="Times New Roman"/>
          <w:color w:val="000000" w:themeColor="text1"/>
          <w:szCs w:val="28"/>
        </w:rPr>
        <w:t>財團法人成大研究發展基金會</w:t>
      </w:r>
    </w:p>
    <w:p w14:paraId="2B77886D" w14:textId="01D00405" w:rsidR="00BA762E" w:rsidRPr="00B43CE9" w:rsidRDefault="00BA762E" w:rsidP="00BA762E">
      <w:pPr>
        <w:pStyle w:val="2"/>
        <w:numPr>
          <w:ilvl w:val="0"/>
          <w:numId w:val="17"/>
        </w:numPr>
        <w:rPr>
          <w:rFonts w:eastAsia="標楷體" w:cs="Times New Roman"/>
          <w:color w:val="000000" w:themeColor="text1"/>
          <w:szCs w:val="28"/>
        </w:rPr>
      </w:pPr>
      <w:r w:rsidRPr="00B43CE9">
        <w:rPr>
          <w:rFonts w:eastAsia="標楷體" w:cs="Times New Roman"/>
          <w:color w:val="000000" w:themeColor="text1"/>
          <w:szCs w:val="28"/>
        </w:rPr>
        <w:t>聯繫窗口資訊</w:t>
      </w:r>
    </w:p>
    <w:p w14:paraId="23B996D7" w14:textId="65558DBB" w:rsidR="00BA762E" w:rsidRPr="00B43CE9" w:rsidRDefault="00BA762E" w:rsidP="00BA762E">
      <w:pPr>
        <w:numPr>
          <w:ilvl w:val="0"/>
          <w:numId w:val="11"/>
        </w:numPr>
        <w:adjustRightInd w:val="0"/>
        <w:snapToGrid w:val="0"/>
        <w:ind w:hanging="482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B43CE9">
        <w:rPr>
          <w:rFonts w:ascii="Times New Roman" w:eastAsia="標楷體" w:hAnsi="Times New Roman" w:cs="Times New Roman"/>
          <w:color w:val="000000" w:themeColor="text1"/>
          <w:szCs w:val="28"/>
        </w:rPr>
        <w:t>姓名：</w:t>
      </w:r>
      <w:r w:rsidR="00B353D9" w:rsidRPr="00B43CE9">
        <w:rPr>
          <w:rFonts w:ascii="Times New Roman" w:eastAsia="標楷體" w:hAnsi="Times New Roman" w:cs="Times New Roman"/>
          <w:color w:val="000000" w:themeColor="text1"/>
          <w:szCs w:val="28"/>
        </w:rPr>
        <w:t>陳豐祥</w:t>
      </w:r>
    </w:p>
    <w:p w14:paraId="21DC7665" w14:textId="6B0169B4" w:rsidR="00BA762E" w:rsidRPr="00B43CE9" w:rsidRDefault="00BA762E" w:rsidP="00BA762E">
      <w:pPr>
        <w:numPr>
          <w:ilvl w:val="0"/>
          <w:numId w:val="11"/>
        </w:numPr>
        <w:adjustRightInd w:val="0"/>
        <w:snapToGrid w:val="0"/>
        <w:ind w:hanging="482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B43CE9">
        <w:rPr>
          <w:rFonts w:ascii="Times New Roman" w:eastAsia="標楷體" w:hAnsi="Times New Roman" w:cs="Times New Roman"/>
          <w:color w:val="000000" w:themeColor="text1"/>
          <w:szCs w:val="28"/>
        </w:rPr>
        <w:t>職稱：</w:t>
      </w:r>
      <w:r w:rsidR="00B353D9" w:rsidRPr="00B43CE9">
        <w:rPr>
          <w:rFonts w:ascii="Times New Roman" w:eastAsia="標楷體" w:hAnsi="Times New Roman" w:cs="Times New Roman"/>
          <w:color w:val="000000" w:themeColor="text1"/>
          <w:szCs w:val="28"/>
        </w:rPr>
        <w:t>工程師</w:t>
      </w:r>
    </w:p>
    <w:p w14:paraId="21B6D4B0" w14:textId="0A2CF2D3" w:rsidR="00BA762E" w:rsidRPr="00B43CE9" w:rsidRDefault="00BA762E" w:rsidP="00BA762E">
      <w:pPr>
        <w:numPr>
          <w:ilvl w:val="0"/>
          <w:numId w:val="11"/>
        </w:numPr>
        <w:adjustRightInd w:val="0"/>
        <w:snapToGrid w:val="0"/>
        <w:ind w:hanging="482"/>
        <w:jc w:val="both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B43CE9">
        <w:rPr>
          <w:rFonts w:ascii="Times New Roman" w:eastAsia="標楷體" w:hAnsi="Times New Roman" w:cs="Times New Roman"/>
          <w:color w:val="000000" w:themeColor="text1"/>
          <w:szCs w:val="28"/>
        </w:rPr>
        <w:t>Email</w:t>
      </w:r>
      <w:r w:rsidRPr="00B43CE9">
        <w:rPr>
          <w:rFonts w:ascii="Times New Roman" w:eastAsia="標楷體" w:hAnsi="Times New Roman" w:cs="Times New Roman"/>
          <w:color w:val="000000" w:themeColor="text1"/>
          <w:szCs w:val="28"/>
        </w:rPr>
        <w:t>：</w:t>
      </w:r>
      <w:r w:rsidR="00A51E67" w:rsidRPr="00B43CE9">
        <w:rPr>
          <w:rFonts w:ascii="Times New Roman" w:eastAsia="標楷體" w:hAnsi="Times New Roman" w:cs="Times New Roman"/>
          <w:color w:val="000000" w:themeColor="text1"/>
          <w:szCs w:val="28"/>
        </w:rPr>
        <w:t>finnchen@ncku-isdc.com</w:t>
      </w:r>
    </w:p>
    <w:p w14:paraId="3BD97C11" w14:textId="03D86810" w:rsidR="006375B8" w:rsidRPr="00B43CE9" w:rsidRDefault="00BA762E" w:rsidP="00BA762E">
      <w:pPr>
        <w:numPr>
          <w:ilvl w:val="0"/>
          <w:numId w:val="11"/>
        </w:numPr>
        <w:adjustRightInd w:val="0"/>
        <w:snapToGrid w:val="0"/>
        <w:ind w:hanging="482"/>
        <w:jc w:val="both"/>
        <w:textAlignment w:val="baseline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B43CE9">
        <w:rPr>
          <w:rFonts w:ascii="Times New Roman" w:eastAsia="標楷體" w:hAnsi="Times New Roman" w:cs="Times New Roman"/>
          <w:color w:val="000000" w:themeColor="text1"/>
          <w:szCs w:val="28"/>
        </w:rPr>
        <w:t>電話：</w:t>
      </w:r>
      <w:r w:rsidR="00A51E67" w:rsidRPr="00B43CE9">
        <w:rPr>
          <w:rFonts w:ascii="Times New Roman" w:eastAsia="標楷體" w:hAnsi="Times New Roman" w:cs="Times New Roman"/>
          <w:color w:val="000000" w:themeColor="text1"/>
          <w:szCs w:val="28"/>
        </w:rPr>
        <w:t>06-236-9383</w:t>
      </w:r>
    </w:p>
    <w:sectPr w:rsidR="006375B8" w:rsidRPr="00B43CE9" w:rsidSect="004E5656">
      <w:footerReference w:type="default" r:id="rId12"/>
      <w:pgSz w:w="16838" w:h="11906" w:orient="landscape"/>
      <w:pgMar w:top="1134" w:right="1440" w:bottom="113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080DA" w14:textId="77777777" w:rsidR="00BE568C" w:rsidRDefault="00BE568C" w:rsidP="00014AA3">
      <w:r>
        <w:separator/>
      </w:r>
    </w:p>
  </w:endnote>
  <w:endnote w:type="continuationSeparator" w:id="0">
    <w:p w14:paraId="44F19CB8" w14:textId="77777777" w:rsidR="00BE568C" w:rsidRDefault="00BE568C" w:rsidP="00014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9967306"/>
      <w:docPartObj>
        <w:docPartGallery w:val="Page Numbers (Bottom of Page)"/>
        <w:docPartUnique/>
      </w:docPartObj>
    </w:sdtPr>
    <w:sdtEndPr/>
    <w:sdtContent>
      <w:p w14:paraId="2A7C9CC5" w14:textId="38B147A0" w:rsidR="0044502E" w:rsidRDefault="0044502E" w:rsidP="004E565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36A" w:rsidRPr="0047036A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E8FE4" w14:textId="77777777" w:rsidR="00BE568C" w:rsidRDefault="00BE568C" w:rsidP="00014AA3">
      <w:r>
        <w:separator/>
      </w:r>
    </w:p>
  </w:footnote>
  <w:footnote w:type="continuationSeparator" w:id="0">
    <w:p w14:paraId="5A772985" w14:textId="77777777" w:rsidR="00BE568C" w:rsidRDefault="00BE568C" w:rsidP="00014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44F0"/>
    <w:multiLevelType w:val="hybridMultilevel"/>
    <w:tmpl w:val="F7D666CE"/>
    <w:lvl w:ilvl="0" w:tplc="0D5CD306">
      <w:start w:val="1"/>
      <w:numFmt w:val="decimal"/>
      <w:pStyle w:val="000-"/>
      <w:lvlText w:val="(%1)"/>
      <w:lvlJc w:val="left"/>
      <w:pPr>
        <w:ind w:left="480" w:hanging="480"/>
      </w:pPr>
      <w:rPr>
        <w:rFonts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A8244E0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ED36C2"/>
    <w:multiLevelType w:val="hybridMultilevel"/>
    <w:tmpl w:val="FC34DE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A924970">
      <w:start w:val="1"/>
      <w:numFmt w:val="decimal"/>
      <w:lvlText w:val="(%2)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AD5E73"/>
    <w:multiLevelType w:val="hybridMultilevel"/>
    <w:tmpl w:val="6ACEB8BE"/>
    <w:lvl w:ilvl="0" w:tplc="03F8B54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78467A8"/>
    <w:multiLevelType w:val="hybridMultilevel"/>
    <w:tmpl w:val="198A333E"/>
    <w:lvl w:ilvl="0" w:tplc="15BC0D12">
      <w:start w:val="1"/>
      <w:numFmt w:val="decimal"/>
      <w:lvlText w:val="%1."/>
      <w:lvlJc w:val="left"/>
      <w:pPr>
        <w:ind w:left="144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2DE43304"/>
    <w:multiLevelType w:val="hybridMultilevel"/>
    <w:tmpl w:val="0D968690"/>
    <w:lvl w:ilvl="0" w:tplc="A378B79A">
      <w:start w:val="1"/>
      <w:numFmt w:val="decimal"/>
      <w:lvlText w:val="(%1)."/>
      <w:lvlJc w:val="left"/>
      <w:pPr>
        <w:ind w:left="720" w:hanging="48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31F95141"/>
    <w:multiLevelType w:val="hybridMultilevel"/>
    <w:tmpl w:val="216CABCC"/>
    <w:lvl w:ilvl="0" w:tplc="45E6EA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8F0A11"/>
    <w:multiLevelType w:val="hybridMultilevel"/>
    <w:tmpl w:val="8F5C69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B46F50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4C7A19B2"/>
    <w:multiLevelType w:val="hybridMultilevel"/>
    <w:tmpl w:val="E40423DA"/>
    <w:lvl w:ilvl="0" w:tplc="5BB23B5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CE82ECD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509112DC"/>
    <w:multiLevelType w:val="hybridMultilevel"/>
    <w:tmpl w:val="5B0EAF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1D5013"/>
    <w:multiLevelType w:val="hybridMultilevel"/>
    <w:tmpl w:val="5D0C2554"/>
    <w:lvl w:ilvl="0" w:tplc="5BB23B5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3" w15:restartNumberingAfterBreak="0">
    <w:nsid w:val="604E6872"/>
    <w:multiLevelType w:val="hybridMultilevel"/>
    <w:tmpl w:val="FEA00A36"/>
    <w:lvl w:ilvl="0" w:tplc="FA924970">
      <w:start w:val="1"/>
      <w:numFmt w:val="decimal"/>
      <w:lvlText w:val="(%1)."/>
      <w:lvlJc w:val="left"/>
      <w:pPr>
        <w:ind w:left="1200" w:hanging="48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684F7359"/>
    <w:multiLevelType w:val="hybridMultilevel"/>
    <w:tmpl w:val="8F5C69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186E7E"/>
    <w:multiLevelType w:val="hybridMultilevel"/>
    <w:tmpl w:val="46A0F4D6"/>
    <w:lvl w:ilvl="0" w:tplc="704A5C90">
      <w:start w:val="1"/>
      <w:numFmt w:val="taiwaneseCountingThousand"/>
      <w:lvlText w:val="%1、"/>
      <w:lvlJc w:val="center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2AD29C2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778E5A99"/>
    <w:multiLevelType w:val="hybridMultilevel"/>
    <w:tmpl w:val="24D08B4E"/>
    <w:lvl w:ilvl="0" w:tplc="D6F06BFA">
      <w:start w:val="1"/>
      <w:numFmt w:val="decimal"/>
      <w:lvlText w:val="(%1)."/>
      <w:lvlJc w:val="left"/>
      <w:pPr>
        <w:ind w:left="720" w:hanging="48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 w16cid:durableId="1785270403">
    <w:abstractNumId w:val="0"/>
  </w:num>
  <w:num w:numId="2" w16cid:durableId="727342280">
    <w:abstractNumId w:val="15"/>
  </w:num>
  <w:num w:numId="3" w16cid:durableId="1843007606">
    <w:abstractNumId w:val="3"/>
  </w:num>
  <w:num w:numId="4" w16cid:durableId="766534359">
    <w:abstractNumId w:val="4"/>
  </w:num>
  <w:num w:numId="5" w16cid:durableId="413091533">
    <w:abstractNumId w:val="12"/>
  </w:num>
  <w:num w:numId="6" w16cid:durableId="1783501025">
    <w:abstractNumId w:val="9"/>
  </w:num>
  <w:num w:numId="7" w16cid:durableId="1345132727">
    <w:abstractNumId w:val="6"/>
  </w:num>
  <w:num w:numId="8" w16cid:durableId="2015723009">
    <w:abstractNumId w:val="14"/>
  </w:num>
  <w:num w:numId="9" w16cid:durableId="633027103">
    <w:abstractNumId w:val="11"/>
  </w:num>
  <w:num w:numId="10" w16cid:durableId="1518498967">
    <w:abstractNumId w:val="2"/>
  </w:num>
  <w:num w:numId="11" w16cid:durableId="1861162008">
    <w:abstractNumId w:val="17"/>
  </w:num>
  <w:num w:numId="12" w16cid:durableId="1670330277">
    <w:abstractNumId w:val="7"/>
  </w:num>
  <w:num w:numId="13" w16cid:durableId="1489174549">
    <w:abstractNumId w:val="10"/>
  </w:num>
  <w:num w:numId="14" w16cid:durableId="446699490">
    <w:abstractNumId w:val="1"/>
  </w:num>
  <w:num w:numId="15" w16cid:durableId="1091700188">
    <w:abstractNumId w:val="16"/>
  </w:num>
  <w:num w:numId="16" w16cid:durableId="1522817307">
    <w:abstractNumId w:val="13"/>
  </w:num>
  <w:num w:numId="17" w16cid:durableId="376317784">
    <w:abstractNumId w:val="8"/>
  </w:num>
  <w:num w:numId="18" w16cid:durableId="1198734086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F5D"/>
    <w:rsid w:val="00004B3F"/>
    <w:rsid w:val="00010CD0"/>
    <w:rsid w:val="00014AA3"/>
    <w:rsid w:val="000257B5"/>
    <w:rsid w:val="00050E85"/>
    <w:rsid w:val="00052EF5"/>
    <w:rsid w:val="00053247"/>
    <w:rsid w:val="00055BBA"/>
    <w:rsid w:val="000577EF"/>
    <w:rsid w:val="0006273A"/>
    <w:rsid w:val="00067C90"/>
    <w:rsid w:val="00072562"/>
    <w:rsid w:val="00075BFA"/>
    <w:rsid w:val="00090C1B"/>
    <w:rsid w:val="00092195"/>
    <w:rsid w:val="0009719C"/>
    <w:rsid w:val="00097978"/>
    <w:rsid w:val="000D139F"/>
    <w:rsid w:val="000E0921"/>
    <w:rsid w:val="000E4D4E"/>
    <w:rsid w:val="000E756E"/>
    <w:rsid w:val="00105A78"/>
    <w:rsid w:val="00113B48"/>
    <w:rsid w:val="00115F5F"/>
    <w:rsid w:val="0011793A"/>
    <w:rsid w:val="00125268"/>
    <w:rsid w:val="00126D3C"/>
    <w:rsid w:val="00145B66"/>
    <w:rsid w:val="00155079"/>
    <w:rsid w:val="001637CD"/>
    <w:rsid w:val="0016540F"/>
    <w:rsid w:val="00167A89"/>
    <w:rsid w:val="00181F14"/>
    <w:rsid w:val="0019637E"/>
    <w:rsid w:val="001B42D8"/>
    <w:rsid w:val="001C6869"/>
    <w:rsid w:val="001C7178"/>
    <w:rsid w:val="001D48E0"/>
    <w:rsid w:val="001E7112"/>
    <w:rsid w:val="001F4333"/>
    <w:rsid w:val="001F6577"/>
    <w:rsid w:val="0020491B"/>
    <w:rsid w:val="00212B3A"/>
    <w:rsid w:val="00216A1D"/>
    <w:rsid w:val="00223F4F"/>
    <w:rsid w:val="00224FDE"/>
    <w:rsid w:val="002256A9"/>
    <w:rsid w:val="00227073"/>
    <w:rsid w:val="002407CF"/>
    <w:rsid w:val="002453C3"/>
    <w:rsid w:val="0024594C"/>
    <w:rsid w:val="002462AC"/>
    <w:rsid w:val="00263E39"/>
    <w:rsid w:val="00267EEC"/>
    <w:rsid w:val="00273ACA"/>
    <w:rsid w:val="00287EDE"/>
    <w:rsid w:val="00291894"/>
    <w:rsid w:val="002964AD"/>
    <w:rsid w:val="002A5E91"/>
    <w:rsid w:val="002B02DB"/>
    <w:rsid w:val="002C239D"/>
    <w:rsid w:val="002C3D30"/>
    <w:rsid w:val="002C7140"/>
    <w:rsid w:val="002D13DF"/>
    <w:rsid w:val="00304829"/>
    <w:rsid w:val="003067B5"/>
    <w:rsid w:val="00313E13"/>
    <w:rsid w:val="00315F05"/>
    <w:rsid w:val="0031615A"/>
    <w:rsid w:val="003176FD"/>
    <w:rsid w:val="00327625"/>
    <w:rsid w:val="00331B9D"/>
    <w:rsid w:val="003321C3"/>
    <w:rsid w:val="00334D00"/>
    <w:rsid w:val="00347F8D"/>
    <w:rsid w:val="00352AB6"/>
    <w:rsid w:val="00356C70"/>
    <w:rsid w:val="00356E74"/>
    <w:rsid w:val="00365FC5"/>
    <w:rsid w:val="00367839"/>
    <w:rsid w:val="0037271E"/>
    <w:rsid w:val="003836C9"/>
    <w:rsid w:val="0039093A"/>
    <w:rsid w:val="003930F2"/>
    <w:rsid w:val="003A21B7"/>
    <w:rsid w:val="003C5A53"/>
    <w:rsid w:val="003C7073"/>
    <w:rsid w:val="003D2EAA"/>
    <w:rsid w:val="003E02D7"/>
    <w:rsid w:val="003E0ECF"/>
    <w:rsid w:val="003E541F"/>
    <w:rsid w:val="003F07C2"/>
    <w:rsid w:val="003F19D8"/>
    <w:rsid w:val="003F5709"/>
    <w:rsid w:val="003F5C87"/>
    <w:rsid w:val="004007CE"/>
    <w:rsid w:val="00410565"/>
    <w:rsid w:val="00412CA8"/>
    <w:rsid w:val="00413C5B"/>
    <w:rsid w:val="00420E00"/>
    <w:rsid w:val="004225C3"/>
    <w:rsid w:val="00427BDD"/>
    <w:rsid w:val="00427E82"/>
    <w:rsid w:val="00430052"/>
    <w:rsid w:val="0043172A"/>
    <w:rsid w:val="00433E5A"/>
    <w:rsid w:val="00437614"/>
    <w:rsid w:val="00441055"/>
    <w:rsid w:val="00443549"/>
    <w:rsid w:val="0044502E"/>
    <w:rsid w:val="004456D1"/>
    <w:rsid w:val="0047036A"/>
    <w:rsid w:val="00473225"/>
    <w:rsid w:val="00475A4D"/>
    <w:rsid w:val="00487079"/>
    <w:rsid w:val="004900C2"/>
    <w:rsid w:val="004A1C35"/>
    <w:rsid w:val="004A1F77"/>
    <w:rsid w:val="004A7885"/>
    <w:rsid w:val="004B60E1"/>
    <w:rsid w:val="004B6637"/>
    <w:rsid w:val="004C54D7"/>
    <w:rsid w:val="004C553F"/>
    <w:rsid w:val="004D1C61"/>
    <w:rsid w:val="004D67BF"/>
    <w:rsid w:val="004E0982"/>
    <w:rsid w:val="004E5656"/>
    <w:rsid w:val="004F503D"/>
    <w:rsid w:val="005000C0"/>
    <w:rsid w:val="00513613"/>
    <w:rsid w:val="00517240"/>
    <w:rsid w:val="005210DE"/>
    <w:rsid w:val="00534D16"/>
    <w:rsid w:val="00537837"/>
    <w:rsid w:val="005414A3"/>
    <w:rsid w:val="005444A0"/>
    <w:rsid w:val="00546358"/>
    <w:rsid w:val="00554B15"/>
    <w:rsid w:val="00571C87"/>
    <w:rsid w:val="00572187"/>
    <w:rsid w:val="00581A01"/>
    <w:rsid w:val="005828EC"/>
    <w:rsid w:val="005851DC"/>
    <w:rsid w:val="00585BAD"/>
    <w:rsid w:val="00586FFC"/>
    <w:rsid w:val="00591D20"/>
    <w:rsid w:val="00593F42"/>
    <w:rsid w:val="00594B51"/>
    <w:rsid w:val="005A0C0C"/>
    <w:rsid w:val="005A0F5D"/>
    <w:rsid w:val="005B2C96"/>
    <w:rsid w:val="005B35D5"/>
    <w:rsid w:val="005B37ED"/>
    <w:rsid w:val="005B3C52"/>
    <w:rsid w:val="005B4720"/>
    <w:rsid w:val="005B4952"/>
    <w:rsid w:val="005C5E82"/>
    <w:rsid w:val="005D245C"/>
    <w:rsid w:val="005D2F99"/>
    <w:rsid w:val="005E1F5F"/>
    <w:rsid w:val="005E5328"/>
    <w:rsid w:val="005E5FB8"/>
    <w:rsid w:val="005E6C1C"/>
    <w:rsid w:val="005F1CDC"/>
    <w:rsid w:val="005F327F"/>
    <w:rsid w:val="005F7A52"/>
    <w:rsid w:val="00600F27"/>
    <w:rsid w:val="00602BCC"/>
    <w:rsid w:val="00603CD5"/>
    <w:rsid w:val="00603DA1"/>
    <w:rsid w:val="00613BF0"/>
    <w:rsid w:val="00614593"/>
    <w:rsid w:val="00615B58"/>
    <w:rsid w:val="00624D0C"/>
    <w:rsid w:val="00632E99"/>
    <w:rsid w:val="00634E95"/>
    <w:rsid w:val="006375B8"/>
    <w:rsid w:val="00637D6A"/>
    <w:rsid w:val="00640A95"/>
    <w:rsid w:val="0064717D"/>
    <w:rsid w:val="00650830"/>
    <w:rsid w:val="00650C14"/>
    <w:rsid w:val="00661045"/>
    <w:rsid w:val="006618A7"/>
    <w:rsid w:val="00662F88"/>
    <w:rsid w:val="00667579"/>
    <w:rsid w:val="00672389"/>
    <w:rsid w:val="00673699"/>
    <w:rsid w:val="0067527F"/>
    <w:rsid w:val="00681ACD"/>
    <w:rsid w:val="0068678B"/>
    <w:rsid w:val="006C1C18"/>
    <w:rsid w:val="006D3652"/>
    <w:rsid w:val="006D5BED"/>
    <w:rsid w:val="006E1B36"/>
    <w:rsid w:val="006F4753"/>
    <w:rsid w:val="006F7037"/>
    <w:rsid w:val="00702B72"/>
    <w:rsid w:val="0072091D"/>
    <w:rsid w:val="00721B30"/>
    <w:rsid w:val="00722CA9"/>
    <w:rsid w:val="00741CEB"/>
    <w:rsid w:val="00742A93"/>
    <w:rsid w:val="00751BA2"/>
    <w:rsid w:val="00754B20"/>
    <w:rsid w:val="00771BAA"/>
    <w:rsid w:val="00784EDA"/>
    <w:rsid w:val="00791E6B"/>
    <w:rsid w:val="007A2830"/>
    <w:rsid w:val="007A3068"/>
    <w:rsid w:val="007A6FD0"/>
    <w:rsid w:val="007B0B17"/>
    <w:rsid w:val="007B1D09"/>
    <w:rsid w:val="007B4E64"/>
    <w:rsid w:val="007C002C"/>
    <w:rsid w:val="007C2C14"/>
    <w:rsid w:val="007C33E3"/>
    <w:rsid w:val="007C4F73"/>
    <w:rsid w:val="007C7432"/>
    <w:rsid w:val="007E48B8"/>
    <w:rsid w:val="007F06CE"/>
    <w:rsid w:val="007F37B2"/>
    <w:rsid w:val="007F47BF"/>
    <w:rsid w:val="007F7A74"/>
    <w:rsid w:val="0080628E"/>
    <w:rsid w:val="00806396"/>
    <w:rsid w:val="00807DC0"/>
    <w:rsid w:val="008130F5"/>
    <w:rsid w:val="00814C2B"/>
    <w:rsid w:val="00816AD8"/>
    <w:rsid w:val="00821615"/>
    <w:rsid w:val="00821FAB"/>
    <w:rsid w:val="00833144"/>
    <w:rsid w:val="00834187"/>
    <w:rsid w:val="0083492E"/>
    <w:rsid w:val="00834A82"/>
    <w:rsid w:val="00835E7A"/>
    <w:rsid w:val="00844479"/>
    <w:rsid w:val="00856AF8"/>
    <w:rsid w:val="00865BE4"/>
    <w:rsid w:val="00867EC1"/>
    <w:rsid w:val="00870370"/>
    <w:rsid w:val="00871E88"/>
    <w:rsid w:val="00872CA0"/>
    <w:rsid w:val="00875E92"/>
    <w:rsid w:val="00881B6E"/>
    <w:rsid w:val="008A1DA0"/>
    <w:rsid w:val="008A47AE"/>
    <w:rsid w:val="008A4FA8"/>
    <w:rsid w:val="008A7DBD"/>
    <w:rsid w:val="008B0F21"/>
    <w:rsid w:val="008C1230"/>
    <w:rsid w:val="008C1C5D"/>
    <w:rsid w:val="008C5403"/>
    <w:rsid w:val="008D1585"/>
    <w:rsid w:val="008D6590"/>
    <w:rsid w:val="008E1D4D"/>
    <w:rsid w:val="008E2AD6"/>
    <w:rsid w:val="008E782B"/>
    <w:rsid w:val="008F08DB"/>
    <w:rsid w:val="0090009F"/>
    <w:rsid w:val="009003F0"/>
    <w:rsid w:val="009023FE"/>
    <w:rsid w:val="009041DE"/>
    <w:rsid w:val="00911EB2"/>
    <w:rsid w:val="00911F09"/>
    <w:rsid w:val="00914FD2"/>
    <w:rsid w:val="00920C6F"/>
    <w:rsid w:val="0092368B"/>
    <w:rsid w:val="00924B1B"/>
    <w:rsid w:val="00927CD9"/>
    <w:rsid w:val="009330D7"/>
    <w:rsid w:val="009376C9"/>
    <w:rsid w:val="00937829"/>
    <w:rsid w:val="0094465A"/>
    <w:rsid w:val="00950478"/>
    <w:rsid w:val="00957F23"/>
    <w:rsid w:val="00960016"/>
    <w:rsid w:val="009672AD"/>
    <w:rsid w:val="009702FA"/>
    <w:rsid w:val="009829C7"/>
    <w:rsid w:val="00996EC6"/>
    <w:rsid w:val="00997DB6"/>
    <w:rsid w:val="009B1C31"/>
    <w:rsid w:val="009D6C2A"/>
    <w:rsid w:val="009E33A6"/>
    <w:rsid w:val="009F1E5B"/>
    <w:rsid w:val="00A1651F"/>
    <w:rsid w:val="00A1688F"/>
    <w:rsid w:val="00A178E4"/>
    <w:rsid w:val="00A21C46"/>
    <w:rsid w:val="00A2537A"/>
    <w:rsid w:val="00A31455"/>
    <w:rsid w:val="00A32388"/>
    <w:rsid w:val="00A35F55"/>
    <w:rsid w:val="00A51E67"/>
    <w:rsid w:val="00A54467"/>
    <w:rsid w:val="00A61B59"/>
    <w:rsid w:val="00A6225D"/>
    <w:rsid w:val="00A67A01"/>
    <w:rsid w:val="00A805C9"/>
    <w:rsid w:val="00A83369"/>
    <w:rsid w:val="00A93413"/>
    <w:rsid w:val="00A93DB8"/>
    <w:rsid w:val="00AB25B3"/>
    <w:rsid w:val="00AB3927"/>
    <w:rsid w:val="00AC7AC3"/>
    <w:rsid w:val="00AF6DD0"/>
    <w:rsid w:val="00AF75FB"/>
    <w:rsid w:val="00B01B5A"/>
    <w:rsid w:val="00B02BEF"/>
    <w:rsid w:val="00B03617"/>
    <w:rsid w:val="00B04FD4"/>
    <w:rsid w:val="00B13D53"/>
    <w:rsid w:val="00B144F3"/>
    <w:rsid w:val="00B17441"/>
    <w:rsid w:val="00B175D9"/>
    <w:rsid w:val="00B2203D"/>
    <w:rsid w:val="00B26717"/>
    <w:rsid w:val="00B353D9"/>
    <w:rsid w:val="00B42470"/>
    <w:rsid w:val="00B43CE9"/>
    <w:rsid w:val="00B5304C"/>
    <w:rsid w:val="00B5532D"/>
    <w:rsid w:val="00B5559B"/>
    <w:rsid w:val="00B7322B"/>
    <w:rsid w:val="00B76F9F"/>
    <w:rsid w:val="00B84BC5"/>
    <w:rsid w:val="00B84F79"/>
    <w:rsid w:val="00B8531C"/>
    <w:rsid w:val="00B9216E"/>
    <w:rsid w:val="00B92F81"/>
    <w:rsid w:val="00B94CC2"/>
    <w:rsid w:val="00B97971"/>
    <w:rsid w:val="00BA26EE"/>
    <w:rsid w:val="00BA2F49"/>
    <w:rsid w:val="00BA762E"/>
    <w:rsid w:val="00BB3AD4"/>
    <w:rsid w:val="00BC143B"/>
    <w:rsid w:val="00BC22CB"/>
    <w:rsid w:val="00BD5982"/>
    <w:rsid w:val="00BE096E"/>
    <w:rsid w:val="00BE568C"/>
    <w:rsid w:val="00BF197F"/>
    <w:rsid w:val="00BF380C"/>
    <w:rsid w:val="00BF3977"/>
    <w:rsid w:val="00BF5EAF"/>
    <w:rsid w:val="00C01531"/>
    <w:rsid w:val="00C01D51"/>
    <w:rsid w:val="00C022B6"/>
    <w:rsid w:val="00C04BBA"/>
    <w:rsid w:val="00C421AC"/>
    <w:rsid w:val="00C63EA3"/>
    <w:rsid w:val="00C66E7F"/>
    <w:rsid w:val="00C87B00"/>
    <w:rsid w:val="00C90EE0"/>
    <w:rsid w:val="00C96B4A"/>
    <w:rsid w:val="00CA4846"/>
    <w:rsid w:val="00CA6D18"/>
    <w:rsid w:val="00CB19F8"/>
    <w:rsid w:val="00CB55FE"/>
    <w:rsid w:val="00CB791E"/>
    <w:rsid w:val="00CC3B2A"/>
    <w:rsid w:val="00CD206F"/>
    <w:rsid w:val="00CD6E09"/>
    <w:rsid w:val="00CE13CD"/>
    <w:rsid w:val="00CE4201"/>
    <w:rsid w:val="00CE53F9"/>
    <w:rsid w:val="00CE5FBB"/>
    <w:rsid w:val="00CF2335"/>
    <w:rsid w:val="00CF268F"/>
    <w:rsid w:val="00D1194F"/>
    <w:rsid w:val="00D12847"/>
    <w:rsid w:val="00D20C4E"/>
    <w:rsid w:val="00D22855"/>
    <w:rsid w:val="00D475A1"/>
    <w:rsid w:val="00D57E29"/>
    <w:rsid w:val="00D6400D"/>
    <w:rsid w:val="00D651CF"/>
    <w:rsid w:val="00D7066C"/>
    <w:rsid w:val="00D771C5"/>
    <w:rsid w:val="00D80C22"/>
    <w:rsid w:val="00D83F43"/>
    <w:rsid w:val="00D84CEE"/>
    <w:rsid w:val="00DA4228"/>
    <w:rsid w:val="00DB5222"/>
    <w:rsid w:val="00DE1FDA"/>
    <w:rsid w:val="00DE4591"/>
    <w:rsid w:val="00E00D7C"/>
    <w:rsid w:val="00E15B71"/>
    <w:rsid w:val="00E171BB"/>
    <w:rsid w:val="00E20CEC"/>
    <w:rsid w:val="00E26D2C"/>
    <w:rsid w:val="00E42824"/>
    <w:rsid w:val="00E50BF5"/>
    <w:rsid w:val="00E51477"/>
    <w:rsid w:val="00E519B2"/>
    <w:rsid w:val="00E51ABC"/>
    <w:rsid w:val="00E51C98"/>
    <w:rsid w:val="00E60A0F"/>
    <w:rsid w:val="00E6285A"/>
    <w:rsid w:val="00E67089"/>
    <w:rsid w:val="00E70A29"/>
    <w:rsid w:val="00E72A5C"/>
    <w:rsid w:val="00E77295"/>
    <w:rsid w:val="00E83E32"/>
    <w:rsid w:val="00E84428"/>
    <w:rsid w:val="00E95604"/>
    <w:rsid w:val="00EA158E"/>
    <w:rsid w:val="00EA1CB4"/>
    <w:rsid w:val="00EA2804"/>
    <w:rsid w:val="00EA7E03"/>
    <w:rsid w:val="00EB2AF6"/>
    <w:rsid w:val="00EB5770"/>
    <w:rsid w:val="00EC1B1D"/>
    <w:rsid w:val="00EC1BA4"/>
    <w:rsid w:val="00EC5065"/>
    <w:rsid w:val="00EC5266"/>
    <w:rsid w:val="00ED2FEB"/>
    <w:rsid w:val="00EF30AE"/>
    <w:rsid w:val="00F069CB"/>
    <w:rsid w:val="00F14807"/>
    <w:rsid w:val="00F210E4"/>
    <w:rsid w:val="00F27F78"/>
    <w:rsid w:val="00F34D58"/>
    <w:rsid w:val="00F4164B"/>
    <w:rsid w:val="00F45C41"/>
    <w:rsid w:val="00F46170"/>
    <w:rsid w:val="00F5287D"/>
    <w:rsid w:val="00F53028"/>
    <w:rsid w:val="00F538C0"/>
    <w:rsid w:val="00F62427"/>
    <w:rsid w:val="00F62DCE"/>
    <w:rsid w:val="00F642AC"/>
    <w:rsid w:val="00F64904"/>
    <w:rsid w:val="00F64F32"/>
    <w:rsid w:val="00F74EA6"/>
    <w:rsid w:val="00F76F1C"/>
    <w:rsid w:val="00F82D21"/>
    <w:rsid w:val="00F94B56"/>
    <w:rsid w:val="00F96287"/>
    <w:rsid w:val="00FB544C"/>
    <w:rsid w:val="00FC2CC6"/>
    <w:rsid w:val="00FD4963"/>
    <w:rsid w:val="00FF3819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9138AE3"/>
  <w15:docId w15:val="{7C2623F0-912E-4545-BEA5-6441B6D4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F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15F5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A47AE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7B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15F5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8A47AE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link w:val="a4"/>
    <w:uiPriority w:val="34"/>
    <w:qFormat/>
    <w:rsid w:val="005A0F5D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000-">
    <w:name w:val="000-一"/>
    <w:basedOn w:val="a"/>
    <w:rsid w:val="005A0F5D"/>
    <w:pPr>
      <w:widowControl/>
      <w:numPr>
        <w:numId w:val="1"/>
      </w:numPr>
      <w:snapToGrid w:val="0"/>
      <w:spacing w:line="520" w:lineRule="exact"/>
      <w:ind w:left="1615"/>
      <w:jc w:val="both"/>
    </w:pPr>
    <w:rPr>
      <w:rFonts w:ascii="標楷體" w:eastAsia="標楷體" w:hAnsi="標楷體" w:cs="Times New Roman"/>
      <w:kern w:val="0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0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E096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1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14AA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1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14AA3"/>
    <w:rPr>
      <w:sz w:val="20"/>
      <w:szCs w:val="20"/>
    </w:rPr>
  </w:style>
  <w:style w:type="paragraph" w:styleId="ab">
    <w:name w:val="Revision"/>
    <w:hidden/>
    <w:uiPriority w:val="99"/>
    <w:semiHidden/>
    <w:rsid w:val="00681ACD"/>
  </w:style>
  <w:style w:type="character" w:styleId="ac">
    <w:name w:val="Hyperlink"/>
    <w:basedOn w:val="a0"/>
    <w:uiPriority w:val="99"/>
    <w:unhideWhenUsed/>
    <w:rsid w:val="008A47AE"/>
    <w:rPr>
      <w:color w:val="0000FF"/>
      <w:u w:val="single"/>
    </w:rPr>
  </w:style>
  <w:style w:type="paragraph" w:customStyle="1" w:styleId="Default">
    <w:name w:val="Default"/>
    <w:link w:val="Default0"/>
    <w:rsid w:val="00865BE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Default0">
    <w:name w:val="Default 字元"/>
    <w:link w:val="Default"/>
    <w:rsid w:val="00865BE4"/>
    <w:rPr>
      <w:rFonts w:ascii="標楷體" w:hAnsi="標楷體" w:cs="標楷體"/>
      <w:color w:val="000000"/>
      <w:kern w:val="0"/>
      <w:szCs w:val="24"/>
    </w:rPr>
  </w:style>
  <w:style w:type="paragraph" w:styleId="ad">
    <w:name w:val="footnote text"/>
    <w:basedOn w:val="a"/>
    <w:link w:val="ae"/>
    <w:uiPriority w:val="99"/>
    <w:unhideWhenUsed/>
    <w:rsid w:val="00224FDE"/>
    <w:pPr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e">
    <w:name w:val="註腳文字 字元"/>
    <w:basedOn w:val="a0"/>
    <w:link w:val="ad"/>
    <w:uiPriority w:val="99"/>
    <w:rsid w:val="00224FDE"/>
    <w:rPr>
      <w:rFonts w:ascii="Calibri" w:eastAsia="新細明體" w:hAnsi="Calibri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24FDE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D640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D6400D"/>
    <w:rPr>
      <w:rFonts w:ascii="細明體" w:eastAsia="細明體" w:hAnsi="細明體" w:cs="細明體"/>
      <w:kern w:val="0"/>
      <w:szCs w:val="24"/>
    </w:rPr>
  </w:style>
  <w:style w:type="character" w:styleId="af0">
    <w:name w:val="annotation reference"/>
    <w:basedOn w:val="a0"/>
    <w:uiPriority w:val="99"/>
    <w:semiHidden/>
    <w:unhideWhenUsed/>
    <w:rsid w:val="008A1DA0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8A1DA0"/>
    <w:rPr>
      <w:rFonts w:ascii="Calibri" w:eastAsia="新細明體" w:hAnsi="Calibri" w:cs="Times New Roman"/>
    </w:rPr>
  </w:style>
  <w:style w:type="character" w:customStyle="1" w:styleId="af2">
    <w:name w:val="註解文字 字元"/>
    <w:basedOn w:val="a0"/>
    <w:link w:val="af1"/>
    <w:uiPriority w:val="99"/>
    <w:rsid w:val="008A1DA0"/>
    <w:rPr>
      <w:rFonts w:ascii="Calibri" w:eastAsia="新細明體" w:hAnsi="Calibri" w:cs="Times New Roman"/>
    </w:rPr>
  </w:style>
  <w:style w:type="table" w:styleId="af3">
    <w:name w:val="Table Grid"/>
    <w:basedOn w:val="a1"/>
    <w:uiPriority w:val="39"/>
    <w:rsid w:val="001F6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aliases w:val="標號13,圖！"/>
    <w:basedOn w:val="a"/>
    <w:next w:val="a"/>
    <w:link w:val="af5"/>
    <w:qFormat/>
    <w:rsid w:val="005A0C0C"/>
    <w:pPr>
      <w:spacing w:line="360" w:lineRule="auto"/>
      <w:jc w:val="center"/>
    </w:pPr>
    <w:rPr>
      <w:rFonts w:ascii="Times New Roman" w:eastAsia="標楷體" w:hAnsi="Times New Roman" w:cs="Times New Roman"/>
      <w:kern w:val="0"/>
      <w:sz w:val="20"/>
      <w:szCs w:val="20"/>
      <w:lang w:val="x-none" w:eastAsia="x-none"/>
    </w:rPr>
  </w:style>
  <w:style w:type="character" w:customStyle="1" w:styleId="af5">
    <w:name w:val="標號 字元"/>
    <w:aliases w:val="標號13 字元,圖！ 字元"/>
    <w:link w:val="af4"/>
    <w:locked/>
    <w:rsid w:val="005A0C0C"/>
    <w:rPr>
      <w:rFonts w:ascii="Times New Roman" w:eastAsia="標楷體" w:hAnsi="Times New Roman" w:cs="Times New Roman"/>
      <w:kern w:val="0"/>
      <w:sz w:val="20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5A0C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langwithname">
    <w:name w:val="langwithname"/>
    <w:basedOn w:val="a0"/>
    <w:rsid w:val="00115F5F"/>
  </w:style>
  <w:style w:type="paragraph" w:customStyle="1" w:styleId="af6">
    <w:name w:val="公文(全銜)"/>
    <w:uiPriority w:val="99"/>
    <w:rsid w:val="00115F5F"/>
    <w:pPr>
      <w:adjustRightInd w:val="0"/>
      <w:snapToGrid w:val="0"/>
    </w:pPr>
    <w:rPr>
      <w:rFonts w:ascii="Times New Roman" w:eastAsia="標楷體" w:hAnsi="Times New Roman" w:cs="Times New Roman"/>
      <w:noProof/>
      <w:kern w:val="50"/>
      <w:sz w:val="40"/>
      <w:szCs w:val="20"/>
    </w:rPr>
  </w:style>
  <w:style w:type="character" w:customStyle="1" w:styleId="apple-converted-space">
    <w:name w:val="apple-converted-space"/>
    <w:basedOn w:val="a0"/>
    <w:rsid w:val="00115F5F"/>
  </w:style>
  <w:style w:type="character" w:customStyle="1" w:styleId="ilh-page">
    <w:name w:val="ilh-page"/>
    <w:basedOn w:val="a0"/>
    <w:rsid w:val="00115F5F"/>
  </w:style>
  <w:style w:type="paragraph" w:styleId="af7">
    <w:name w:val="Title"/>
    <w:basedOn w:val="a"/>
    <w:next w:val="a"/>
    <w:link w:val="af8"/>
    <w:uiPriority w:val="10"/>
    <w:qFormat/>
    <w:rsid w:val="00115F5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8">
    <w:name w:val="標題 字元"/>
    <w:basedOn w:val="a0"/>
    <w:link w:val="af7"/>
    <w:uiPriority w:val="10"/>
    <w:rsid w:val="00115F5F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stripeme">
    <w:name w:val="stripeme"/>
    <w:basedOn w:val="a0"/>
    <w:rsid w:val="00C022B6"/>
  </w:style>
  <w:style w:type="character" w:customStyle="1" w:styleId="font-titlefont-boldfont-size3">
    <w:name w:val="font-title font-bold font-size3"/>
    <w:basedOn w:val="a0"/>
    <w:rsid w:val="009F1E5B"/>
  </w:style>
  <w:style w:type="character" w:customStyle="1" w:styleId="40">
    <w:name w:val="標題 4 字元"/>
    <w:basedOn w:val="a0"/>
    <w:link w:val="4"/>
    <w:uiPriority w:val="9"/>
    <w:semiHidden/>
    <w:rsid w:val="003067B5"/>
    <w:rPr>
      <w:rFonts w:asciiTheme="majorHAnsi" w:eastAsiaTheme="majorEastAsia" w:hAnsiTheme="majorHAnsi" w:cstheme="majorBidi"/>
      <w:sz w:val="36"/>
      <w:szCs w:val="36"/>
    </w:rPr>
  </w:style>
  <w:style w:type="paragraph" w:styleId="af9">
    <w:name w:val="annotation subject"/>
    <w:basedOn w:val="af1"/>
    <w:next w:val="af1"/>
    <w:link w:val="afa"/>
    <w:uiPriority w:val="99"/>
    <w:semiHidden/>
    <w:unhideWhenUsed/>
    <w:rsid w:val="00CB55FE"/>
    <w:rPr>
      <w:rFonts w:asciiTheme="minorHAnsi" w:eastAsiaTheme="minorEastAsia" w:hAnsiTheme="minorHAnsi" w:cstheme="minorBidi"/>
      <w:b/>
      <w:bCs/>
    </w:rPr>
  </w:style>
  <w:style w:type="character" w:customStyle="1" w:styleId="afa">
    <w:name w:val="註解主旨 字元"/>
    <w:basedOn w:val="af2"/>
    <w:link w:val="af9"/>
    <w:uiPriority w:val="99"/>
    <w:semiHidden/>
    <w:rsid w:val="00CB55FE"/>
    <w:rPr>
      <w:rFonts w:ascii="Calibri" w:eastAsia="新細明體" w:hAnsi="Calibri" w:cs="Times New Roman"/>
      <w:b/>
      <w:bCs/>
    </w:rPr>
  </w:style>
  <w:style w:type="character" w:customStyle="1" w:styleId="a4">
    <w:name w:val="清單段落 字元"/>
    <w:link w:val="a3"/>
    <w:uiPriority w:val="34"/>
    <w:rsid w:val="005414A3"/>
    <w:rPr>
      <w:rFonts w:ascii="Times New Roman" w:eastAsia="新細明體" w:hAnsi="Times New Roman" w:cs="Times New Roman"/>
      <w:szCs w:val="24"/>
    </w:rPr>
  </w:style>
  <w:style w:type="paragraph" w:customStyle="1" w:styleId="11">
    <w:name w:val="清單段落1"/>
    <w:basedOn w:val="a"/>
    <w:rsid w:val="006375B8"/>
    <w:pPr>
      <w:suppressAutoHyphens/>
      <w:snapToGrid w:val="0"/>
      <w:spacing w:line="360" w:lineRule="auto"/>
      <w:ind w:left="480"/>
    </w:pPr>
    <w:rPr>
      <w:rFonts w:ascii="Times New Roman" w:eastAsia="新細明體" w:hAnsi="Times New Roman" w:cs="Tahoma"/>
      <w:szCs w:val="24"/>
    </w:rPr>
  </w:style>
  <w:style w:type="paragraph" w:customStyle="1" w:styleId="2">
    <w:name w:val="清單段落2"/>
    <w:basedOn w:val="a"/>
    <w:rsid w:val="00BA762E"/>
    <w:pPr>
      <w:suppressAutoHyphens/>
      <w:snapToGrid w:val="0"/>
      <w:spacing w:line="360" w:lineRule="auto"/>
      <w:ind w:left="480"/>
    </w:pPr>
    <w:rPr>
      <w:rFonts w:ascii="Times New Roman" w:eastAsia="新細明體" w:hAnsi="Times New Roman" w:cs="Tahoma"/>
      <w:szCs w:val="24"/>
    </w:rPr>
  </w:style>
  <w:style w:type="character" w:styleId="afb">
    <w:name w:val="FollowedHyperlink"/>
    <w:basedOn w:val="a0"/>
    <w:uiPriority w:val="99"/>
    <w:semiHidden/>
    <w:unhideWhenUsed/>
    <w:rsid w:val="00920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package" Target="embeddings/Microsoft_Visio___.vs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7A117-00B0-4526-A92B-2A42F906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259</Words>
  <Characters>1478</Characters>
  <Application>Microsoft Office Word</Application>
  <DocSecurity>0</DocSecurity>
  <Lines>12</Lines>
  <Paragraphs>3</Paragraphs>
  <ScaleCrop>false</ScaleCrop>
  <Company>Microsoft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N300</dc:creator>
  <cp:keywords/>
  <dc:description/>
  <cp:lastModifiedBy>豐祥 成大</cp:lastModifiedBy>
  <cp:revision>6</cp:revision>
  <cp:lastPrinted>2024-03-22T08:29:00Z</cp:lastPrinted>
  <dcterms:created xsi:type="dcterms:W3CDTF">2024-03-22T06:49:00Z</dcterms:created>
  <dcterms:modified xsi:type="dcterms:W3CDTF">2024-03-22T08:30:00Z</dcterms:modified>
</cp:coreProperties>
</file>